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BAD1D" w14:textId="77777777" w:rsidR="00AE3DB2" w:rsidRDefault="00AE3DB2" w:rsidP="00AE3DB2">
      <w:pPr>
        <w:pStyle w:val="1"/>
        <w:spacing w:after="20" w:line="572" w:lineRule="atLeast"/>
        <w:rPr>
          <w:lang w:eastAsia="zh-CN"/>
        </w:rPr>
      </w:pPr>
      <w:r>
        <w:rPr>
          <w:rFonts w:ascii="黑体" w:eastAsia="黑体" w:hAnsi="黑体"/>
          <w:b w:val="0"/>
          <w:color w:val="000000"/>
          <w:sz w:val="34"/>
          <w:lang w:eastAsia="zh-CN"/>
        </w:rPr>
        <w:t>1A414032建筑防火材料的特性与应用</w:t>
      </w:r>
    </w:p>
    <w:p w14:paraId="690D0E98" w14:textId="77777777" w:rsidR="00AE3DB2" w:rsidRDefault="00AE3DB2" w:rsidP="00AE3DB2">
      <w:pPr>
        <w:pStyle w:val="2"/>
        <w:spacing w:after="20" w:line="572" w:lineRule="atLeast"/>
        <w:ind w:firstLine="640"/>
        <w:rPr>
          <w:lang w:eastAsia="zh-CN"/>
        </w:rPr>
      </w:pPr>
      <w:r>
        <w:rPr>
          <w:rFonts w:ascii="黑体" w:eastAsia="黑体" w:hAnsi="黑体"/>
          <w:b w:val="0"/>
          <w:color w:val="000000"/>
          <w:sz w:val="34"/>
          <w:lang w:eastAsia="zh-CN"/>
        </w:rPr>
        <w:t>一、钢结构防火涂料</w:t>
      </w:r>
    </w:p>
    <w:p w14:paraId="34F5CDFD"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钢结构防火涂料是施涂于建（构）筑物钢结构表面，能形成耐火隔热保护层以提高钢结构耐火极限的涂料。</w:t>
      </w:r>
    </w:p>
    <w:p w14:paraId="54EC248C" w14:textId="77777777" w:rsidR="00AE3DB2" w:rsidRDefault="00AE3DB2" w:rsidP="00AE3DB2">
      <w:pPr>
        <w:pStyle w:val="3"/>
        <w:spacing w:after="20" w:line="572" w:lineRule="atLeast"/>
        <w:ind w:firstLine="640"/>
        <w:rPr>
          <w:lang w:eastAsia="zh-CN"/>
        </w:rPr>
      </w:pPr>
      <w:r>
        <w:rPr>
          <w:rFonts w:ascii="黑体" w:eastAsia="黑体" w:hAnsi="黑体"/>
          <w:b w:val="0"/>
          <w:color w:val="000000"/>
          <w:sz w:val="34"/>
          <w:lang w:eastAsia="zh-CN"/>
        </w:rPr>
        <w:t>(</w:t>
      </w:r>
      <w:proofErr w:type="gramStart"/>
      <w:r>
        <w:rPr>
          <w:rFonts w:ascii="黑体" w:eastAsia="黑体" w:hAnsi="黑体"/>
          <w:b w:val="0"/>
          <w:color w:val="000000"/>
          <w:sz w:val="34"/>
          <w:lang w:eastAsia="zh-CN"/>
        </w:rPr>
        <w:t>一</w:t>
      </w:r>
      <w:proofErr w:type="gramEnd"/>
      <w:r>
        <w:rPr>
          <w:rFonts w:ascii="黑体" w:eastAsia="黑体" w:hAnsi="黑体"/>
          <w:b w:val="0"/>
          <w:color w:val="000000"/>
          <w:sz w:val="34"/>
          <w:lang w:eastAsia="zh-CN"/>
        </w:rPr>
        <w:t>)钢结构防火涂料分类</w:t>
      </w:r>
    </w:p>
    <w:p w14:paraId="0242ED33"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1.按火灾防护对象分类</w:t>
      </w:r>
    </w:p>
    <w:p w14:paraId="5C9264F0"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(1)普通钢结构防火涂料：用于普通工业与民用建（构）筑物钢结构表面的防火涂料。</w:t>
      </w:r>
    </w:p>
    <w:p w14:paraId="773739DB"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(2)特种钢结构防火涂料：用于特殊建（构）筑物（如石油化工设施、变配电站等）钢结构表面的防火涂料。</w:t>
      </w:r>
    </w:p>
    <w:p w14:paraId="1CB38245"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2.按使用场所分类</w:t>
      </w:r>
    </w:p>
    <w:p w14:paraId="2D994059"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(1)室内钢结构防火涂料：用于建筑物室内或隐蔽工程的钢结构表面的防火涂料。</w:t>
      </w:r>
    </w:p>
    <w:p w14:paraId="6B466168"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(2)室外钢结构防火涂料：用于建筑物室外或露天工程的钢结构表面的防火涂料。</w:t>
      </w:r>
    </w:p>
    <w:p w14:paraId="0613D323"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3.按分散介质分类</w:t>
      </w:r>
    </w:p>
    <w:p w14:paraId="41979F09"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(1)水基性钢结构防火涂料：以水作为分散介质的钢结构防火涂料。</w:t>
      </w:r>
    </w:p>
    <w:p w14:paraId="70BCF462"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(2)溶剂性钢结构防火涂料：以有机溶剂作为分散介质的钢结构防火涂料。</w:t>
      </w:r>
    </w:p>
    <w:p w14:paraId="1BF844D2" w14:textId="77777777" w:rsidR="00AE3DB2" w:rsidRDefault="00AE3DB2" w:rsidP="00AE3DB2">
      <w:pPr>
        <w:pStyle w:val="4"/>
        <w:spacing w:after="20" w:line="572" w:lineRule="atLeast"/>
        <w:ind w:firstLine="640"/>
        <w:rPr>
          <w:lang w:eastAsia="zh-CN"/>
        </w:rPr>
      </w:pPr>
      <w:r>
        <w:rPr>
          <w:rFonts w:ascii="黑体" w:eastAsia="黑体" w:hAnsi="黑体"/>
          <w:b w:val="0"/>
          <w:color w:val="000000"/>
          <w:sz w:val="34"/>
          <w:lang w:eastAsia="zh-CN"/>
        </w:rPr>
        <w:lastRenderedPageBreak/>
        <w:t>4.按防火机理分类</w:t>
      </w:r>
    </w:p>
    <w:p w14:paraId="1E74F173"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(1)膨胀型钢结构防火涂料：涂层在高温时膨胀发泡，形成耐火隔热保护层的钢结构防火涂料。</w:t>
      </w:r>
    </w:p>
    <w:p w14:paraId="075F955C"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(2)非膨胀型钢结构防火涂料：涂层在高温时不膨胀发泡，其自身成为耐火隔热保护层的钢结构防火涂料。</w:t>
      </w:r>
    </w:p>
    <w:p w14:paraId="78F18FF5" w14:textId="77777777" w:rsidR="00AE3DB2" w:rsidRDefault="00AE3DB2" w:rsidP="00AE3DB2">
      <w:pPr>
        <w:pStyle w:val="3"/>
        <w:spacing w:after="20" w:line="572" w:lineRule="atLeast"/>
        <w:ind w:firstLine="640"/>
        <w:rPr>
          <w:lang w:eastAsia="zh-CN"/>
        </w:rPr>
      </w:pPr>
      <w:r>
        <w:rPr>
          <w:rFonts w:ascii="黑体" w:eastAsia="黑体" w:hAnsi="黑体"/>
          <w:b w:val="0"/>
          <w:color w:val="000000"/>
          <w:sz w:val="34"/>
          <w:lang w:eastAsia="zh-CN"/>
        </w:rPr>
        <w:t>(二)耐火性能分级</w:t>
      </w:r>
    </w:p>
    <w:p w14:paraId="662CAA47"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(1)钢结构防火涂料的耐火极限分为：0.50h、1.00h、1.50h、2.00h、2.50h和3.00h。</w:t>
      </w:r>
    </w:p>
    <w:p w14:paraId="5A8D64CC"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(2)钢结构防火涂料耐火性能分级代号见表1A414032。</w:t>
      </w:r>
    </w:p>
    <w:p w14:paraId="7D60BB60" w14:textId="77777777" w:rsidR="00AE3DB2" w:rsidRDefault="00AE3DB2" w:rsidP="00AE3DB2">
      <w:pPr>
        <w:spacing w:after="20" w:line="572" w:lineRule="atLeast"/>
        <w:jc w:val="both"/>
      </w:pPr>
      <w:proofErr w:type="spellStart"/>
      <w:r>
        <w:rPr>
          <w:rFonts w:ascii="黑体" w:eastAsia="黑体" w:hAnsi="黑体"/>
          <w:color w:val="000000"/>
          <w:sz w:val="32"/>
        </w:rPr>
        <w:t>耐火性能分级代号</w:t>
      </w:r>
      <w:proofErr w:type="spellEnd"/>
      <w:r>
        <w:rPr>
          <w:rFonts w:ascii="黑体" w:eastAsia="黑体" w:hAnsi="黑体"/>
          <w:color w:val="000000"/>
          <w:sz w:val="32"/>
        </w:rPr>
        <w:tab/>
        <w:t>表1A414032</w:t>
      </w:r>
    </w:p>
    <w:tbl>
      <w:tblPr>
        <w:tblStyle w:val="a7"/>
        <w:tblW w:w="0" w:type="auto"/>
        <w:tblLook w:val="04A0" w:firstRow="1" w:lastRow="0" w:firstColumn="1" w:lastColumn="0" w:noHBand="0" w:noVBand="1"/>
      </w:tblPr>
      <w:tblGrid>
        <w:gridCol w:w="2790"/>
        <w:gridCol w:w="2753"/>
        <w:gridCol w:w="2753"/>
      </w:tblGrid>
      <w:tr w:rsidR="00AE3DB2" w14:paraId="2F2396DA" w14:textId="77777777" w:rsidTr="00CE25DD">
        <w:trPr>
          <w:trHeight w:val="340"/>
        </w:trPr>
        <w:tc>
          <w:tcPr>
            <w:tcW w:w="2880" w:type="dxa"/>
            <w:vMerge w:val="restart"/>
            <w:vAlign w:val="center"/>
          </w:tcPr>
          <w:p w14:paraId="030146D8" w14:textId="77777777" w:rsidR="00AE3DB2" w:rsidRDefault="00AE3DB2" w:rsidP="00CE25DD">
            <w:proofErr w:type="spellStart"/>
            <w:r>
              <w:rPr>
                <w:rFonts w:ascii="Times New Roman" w:eastAsia="仿宋_GB2312" w:hAnsi="Times New Roman"/>
                <w:sz w:val="20"/>
              </w:rPr>
              <w:t>耐火极限（</w:t>
            </w:r>
            <w:r>
              <w:rPr>
                <w:rFonts w:ascii="Times New Roman" w:eastAsia="仿宋_GB2312" w:hAnsi="Times New Roman"/>
                <w:sz w:val="20"/>
              </w:rPr>
              <w:t>F</w:t>
            </w:r>
            <w:r>
              <w:rPr>
                <w:rFonts w:ascii="Times New Roman" w:eastAsia="仿宋_GB2312" w:hAnsi="Times New Roman"/>
                <w:sz w:val="20"/>
              </w:rPr>
              <w:t>）</w:t>
            </w:r>
            <w:r>
              <w:rPr>
                <w:rFonts w:ascii="Times New Roman" w:eastAsia="仿宋_GB2312" w:hAnsi="Times New Roman"/>
                <w:sz w:val="20"/>
              </w:rPr>
              <w:t>h</w:t>
            </w:r>
            <w:proofErr w:type="spellEnd"/>
          </w:p>
        </w:tc>
        <w:tc>
          <w:tcPr>
            <w:tcW w:w="5760" w:type="dxa"/>
            <w:gridSpan w:val="2"/>
            <w:vAlign w:val="center"/>
          </w:tcPr>
          <w:p w14:paraId="63076E69" w14:textId="77777777" w:rsidR="00AE3DB2" w:rsidRDefault="00AE3DB2" w:rsidP="00CE25DD">
            <w:proofErr w:type="spellStart"/>
            <w:r>
              <w:rPr>
                <w:rFonts w:ascii="Times New Roman" w:eastAsia="仿宋_GB2312" w:hAnsi="Times New Roman"/>
                <w:sz w:val="20"/>
              </w:rPr>
              <w:t>耐火性能分级代号</w:t>
            </w:r>
            <w:proofErr w:type="spellEnd"/>
          </w:p>
        </w:tc>
      </w:tr>
      <w:tr w:rsidR="00AE3DB2" w14:paraId="3CCA2630" w14:textId="77777777" w:rsidTr="00CE25DD">
        <w:trPr>
          <w:trHeight w:val="340"/>
        </w:trPr>
        <w:tc>
          <w:tcPr>
            <w:tcW w:w="2880" w:type="dxa"/>
            <w:vMerge/>
          </w:tcPr>
          <w:p w14:paraId="035EF879" w14:textId="77777777" w:rsidR="00AE3DB2" w:rsidRDefault="00AE3DB2" w:rsidP="00CE25DD"/>
        </w:tc>
        <w:tc>
          <w:tcPr>
            <w:tcW w:w="2880" w:type="dxa"/>
            <w:vAlign w:val="center"/>
          </w:tcPr>
          <w:p w14:paraId="6D6EF42D" w14:textId="77777777" w:rsidR="00AE3DB2" w:rsidRDefault="00AE3DB2" w:rsidP="00CE25DD">
            <w:proofErr w:type="spellStart"/>
            <w:r>
              <w:rPr>
                <w:rFonts w:ascii="Times New Roman" w:eastAsia="仿宋_GB2312" w:hAnsi="Times New Roman"/>
                <w:sz w:val="20"/>
              </w:rPr>
              <w:t>普通钢结构防火涂料</w:t>
            </w:r>
            <w:proofErr w:type="spellEnd"/>
          </w:p>
        </w:tc>
        <w:tc>
          <w:tcPr>
            <w:tcW w:w="2880" w:type="dxa"/>
            <w:vAlign w:val="center"/>
          </w:tcPr>
          <w:p w14:paraId="549A415B" w14:textId="77777777" w:rsidR="00AE3DB2" w:rsidRDefault="00AE3DB2" w:rsidP="00CE25DD">
            <w:proofErr w:type="spellStart"/>
            <w:r>
              <w:rPr>
                <w:rFonts w:ascii="Times New Roman" w:eastAsia="仿宋_GB2312" w:hAnsi="Times New Roman"/>
                <w:sz w:val="20"/>
              </w:rPr>
              <w:t>特种钢结构防火涂料</w:t>
            </w:r>
            <w:proofErr w:type="spellEnd"/>
          </w:p>
        </w:tc>
      </w:tr>
      <w:tr w:rsidR="00AE3DB2" w14:paraId="1088F5FD" w14:textId="77777777" w:rsidTr="00CE25DD">
        <w:trPr>
          <w:trHeight w:val="340"/>
        </w:trPr>
        <w:tc>
          <w:tcPr>
            <w:tcW w:w="2880" w:type="dxa"/>
            <w:vAlign w:val="center"/>
          </w:tcPr>
          <w:p w14:paraId="3227C905" w14:textId="77777777" w:rsidR="00AE3DB2" w:rsidRDefault="00AE3DB2" w:rsidP="00CE25DD">
            <w:r>
              <w:rPr>
                <w:rFonts w:ascii="Times New Roman" w:eastAsia="仿宋_GB2312" w:hAnsi="Times New Roman"/>
                <w:sz w:val="20"/>
              </w:rPr>
              <w:t>0.50≤</w:t>
            </w:r>
            <w:proofErr w:type="gramStart"/>
            <w:r>
              <w:rPr>
                <w:rFonts w:ascii="Times New Roman" w:eastAsia="仿宋_GB2312" w:hAnsi="Times New Roman"/>
                <w:sz w:val="20"/>
              </w:rPr>
              <w:t>F,&lt;</w:t>
            </w:r>
            <w:proofErr w:type="gramEnd"/>
            <w:r>
              <w:rPr>
                <w:rFonts w:ascii="Times New Roman" w:eastAsia="仿宋_GB2312" w:hAnsi="Times New Roman"/>
                <w:sz w:val="20"/>
              </w:rPr>
              <w:t>1.00</w:t>
            </w:r>
          </w:p>
        </w:tc>
        <w:tc>
          <w:tcPr>
            <w:tcW w:w="2880" w:type="dxa"/>
            <w:vAlign w:val="center"/>
          </w:tcPr>
          <w:p w14:paraId="3B578687" w14:textId="77777777" w:rsidR="00AE3DB2" w:rsidRDefault="00AE3DB2" w:rsidP="00CE25DD">
            <w:r>
              <w:rPr>
                <w:rFonts w:ascii="Times New Roman" w:eastAsia="仿宋_GB2312" w:hAnsi="Times New Roman"/>
                <w:sz w:val="20"/>
              </w:rPr>
              <w:t>F0.50</w:t>
            </w:r>
          </w:p>
        </w:tc>
        <w:tc>
          <w:tcPr>
            <w:tcW w:w="2880" w:type="dxa"/>
            <w:vAlign w:val="center"/>
          </w:tcPr>
          <w:p w14:paraId="27D0CE59" w14:textId="77777777" w:rsidR="00AE3DB2" w:rsidRDefault="00AE3DB2" w:rsidP="00CE25DD">
            <w:r>
              <w:rPr>
                <w:rFonts w:ascii="Times New Roman" w:eastAsia="仿宋_GB2312" w:hAnsi="Times New Roman"/>
                <w:sz w:val="20"/>
              </w:rPr>
              <w:t>F0.50</w:t>
            </w:r>
          </w:p>
        </w:tc>
      </w:tr>
      <w:tr w:rsidR="00AE3DB2" w14:paraId="257B34CA" w14:textId="77777777" w:rsidTr="00CE25DD">
        <w:trPr>
          <w:trHeight w:val="340"/>
        </w:trPr>
        <w:tc>
          <w:tcPr>
            <w:tcW w:w="2880" w:type="dxa"/>
            <w:vAlign w:val="center"/>
          </w:tcPr>
          <w:p w14:paraId="7151B397" w14:textId="77777777" w:rsidR="00AE3DB2" w:rsidRDefault="00AE3DB2" w:rsidP="00CE25DD">
            <w:r>
              <w:rPr>
                <w:rFonts w:ascii="Times New Roman" w:eastAsia="仿宋_GB2312" w:hAnsi="Times New Roman"/>
                <w:sz w:val="20"/>
              </w:rPr>
              <w:t>1.00≤</w:t>
            </w:r>
            <w:proofErr w:type="gramStart"/>
            <w:r>
              <w:rPr>
                <w:rFonts w:ascii="Times New Roman" w:eastAsia="仿宋_GB2312" w:hAnsi="Times New Roman"/>
                <w:sz w:val="20"/>
              </w:rPr>
              <w:t>F,&lt;</w:t>
            </w:r>
            <w:proofErr w:type="gramEnd"/>
            <w:r>
              <w:rPr>
                <w:rFonts w:ascii="Times New Roman" w:eastAsia="仿宋_GB2312" w:hAnsi="Times New Roman"/>
                <w:sz w:val="20"/>
              </w:rPr>
              <w:t>1.50</w:t>
            </w:r>
          </w:p>
        </w:tc>
        <w:tc>
          <w:tcPr>
            <w:tcW w:w="2880" w:type="dxa"/>
            <w:vAlign w:val="center"/>
          </w:tcPr>
          <w:p w14:paraId="66638909" w14:textId="77777777" w:rsidR="00AE3DB2" w:rsidRDefault="00AE3DB2" w:rsidP="00CE25DD">
            <w:r>
              <w:rPr>
                <w:rFonts w:ascii="Times New Roman" w:eastAsia="仿宋_GB2312" w:hAnsi="Times New Roman"/>
                <w:sz w:val="20"/>
              </w:rPr>
              <w:t>F1.00</w:t>
            </w:r>
          </w:p>
        </w:tc>
        <w:tc>
          <w:tcPr>
            <w:tcW w:w="2880" w:type="dxa"/>
            <w:vAlign w:val="center"/>
          </w:tcPr>
          <w:p w14:paraId="138D0EBD" w14:textId="77777777" w:rsidR="00AE3DB2" w:rsidRDefault="00AE3DB2" w:rsidP="00CE25DD">
            <w:r>
              <w:rPr>
                <w:rFonts w:ascii="Times New Roman" w:eastAsia="仿宋_GB2312" w:hAnsi="Times New Roman"/>
                <w:sz w:val="20"/>
              </w:rPr>
              <w:t>F1.00</w:t>
            </w:r>
          </w:p>
        </w:tc>
      </w:tr>
      <w:tr w:rsidR="00AE3DB2" w14:paraId="24BD3BAB" w14:textId="77777777" w:rsidTr="00CE25DD">
        <w:trPr>
          <w:trHeight w:val="340"/>
        </w:trPr>
        <w:tc>
          <w:tcPr>
            <w:tcW w:w="2880" w:type="dxa"/>
            <w:vAlign w:val="center"/>
          </w:tcPr>
          <w:p w14:paraId="02A4F1D8" w14:textId="77777777" w:rsidR="00AE3DB2" w:rsidRDefault="00AE3DB2" w:rsidP="00CE25DD">
            <w:r>
              <w:rPr>
                <w:rFonts w:ascii="Times New Roman" w:eastAsia="仿宋_GB2312" w:hAnsi="Times New Roman"/>
                <w:sz w:val="20"/>
              </w:rPr>
              <w:t>1.50≤</w:t>
            </w:r>
            <w:proofErr w:type="gramStart"/>
            <w:r>
              <w:rPr>
                <w:rFonts w:ascii="Times New Roman" w:eastAsia="仿宋_GB2312" w:hAnsi="Times New Roman"/>
                <w:sz w:val="20"/>
              </w:rPr>
              <w:t>F,&lt;</w:t>
            </w:r>
            <w:proofErr w:type="gramEnd"/>
            <w:r>
              <w:rPr>
                <w:rFonts w:ascii="Times New Roman" w:eastAsia="仿宋_GB2312" w:hAnsi="Times New Roman"/>
                <w:sz w:val="20"/>
              </w:rPr>
              <w:t>2.00</w:t>
            </w:r>
          </w:p>
        </w:tc>
        <w:tc>
          <w:tcPr>
            <w:tcW w:w="2880" w:type="dxa"/>
            <w:vAlign w:val="center"/>
          </w:tcPr>
          <w:p w14:paraId="0CDE9163" w14:textId="77777777" w:rsidR="00AE3DB2" w:rsidRDefault="00AE3DB2" w:rsidP="00CE25DD">
            <w:r>
              <w:rPr>
                <w:rFonts w:ascii="Times New Roman" w:eastAsia="仿宋_GB2312" w:hAnsi="Times New Roman"/>
                <w:sz w:val="20"/>
              </w:rPr>
              <w:t>F1.50</w:t>
            </w:r>
          </w:p>
        </w:tc>
        <w:tc>
          <w:tcPr>
            <w:tcW w:w="2880" w:type="dxa"/>
            <w:vAlign w:val="center"/>
          </w:tcPr>
          <w:p w14:paraId="517C32FF" w14:textId="77777777" w:rsidR="00AE3DB2" w:rsidRDefault="00AE3DB2" w:rsidP="00CE25DD">
            <w:r>
              <w:rPr>
                <w:rFonts w:ascii="Times New Roman" w:eastAsia="仿宋_GB2312" w:hAnsi="Times New Roman"/>
                <w:sz w:val="20"/>
              </w:rPr>
              <w:t>F1.50</w:t>
            </w:r>
          </w:p>
        </w:tc>
      </w:tr>
      <w:tr w:rsidR="00AE3DB2" w14:paraId="5594DF35" w14:textId="77777777" w:rsidTr="00CE25DD">
        <w:trPr>
          <w:trHeight w:val="340"/>
        </w:trPr>
        <w:tc>
          <w:tcPr>
            <w:tcW w:w="2880" w:type="dxa"/>
            <w:vAlign w:val="center"/>
          </w:tcPr>
          <w:p w14:paraId="0AA6CDEA" w14:textId="77777777" w:rsidR="00AE3DB2" w:rsidRDefault="00AE3DB2" w:rsidP="00CE25DD">
            <w:r>
              <w:rPr>
                <w:rFonts w:ascii="Times New Roman" w:eastAsia="仿宋_GB2312" w:hAnsi="Times New Roman"/>
                <w:sz w:val="20"/>
              </w:rPr>
              <w:t>2.00≤</w:t>
            </w:r>
            <w:proofErr w:type="gramStart"/>
            <w:r>
              <w:rPr>
                <w:rFonts w:ascii="Times New Roman" w:eastAsia="仿宋_GB2312" w:hAnsi="Times New Roman"/>
                <w:sz w:val="20"/>
              </w:rPr>
              <w:t>F,&lt;</w:t>
            </w:r>
            <w:proofErr w:type="gramEnd"/>
            <w:r>
              <w:rPr>
                <w:rFonts w:ascii="Times New Roman" w:eastAsia="仿宋_GB2312" w:hAnsi="Times New Roman"/>
                <w:sz w:val="20"/>
              </w:rPr>
              <w:t>2.50</w:t>
            </w:r>
          </w:p>
        </w:tc>
        <w:tc>
          <w:tcPr>
            <w:tcW w:w="2880" w:type="dxa"/>
            <w:vAlign w:val="center"/>
          </w:tcPr>
          <w:p w14:paraId="3C3645BA" w14:textId="77777777" w:rsidR="00AE3DB2" w:rsidRDefault="00AE3DB2" w:rsidP="00CE25DD">
            <w:r>
              <w:rPr>
                <w:rFonts w:ascii="Times New Roman" w:eastAsia="仿宋_GB2312" w:hAnsi="Times New Roman"/>
                <w:sz w:val="20"/>
              </w:rPr>
              <w:t>F2.00</w:t>
            </w:r>
          </w:p>
        </w:tc>
        <w:tc>
          <w:tcPr>
            <w:tcW w:w="2880" w:type="dxa"/>
            <w:vAlign w:val="center"/>
          </w:tcPr>
          <w:p w14:paraId="091DC17F" w14:textId="77777777" w:rsidR="00AE3DB2" w:rsidRDefault="00AE3DB2" w:rsidP="00CE25DD">
            <w:r>
              <w:rPr>
                <w:rFonts w:ascii="Times New Roman" w:eastAsia="仿宋_GB2312" w:hAnsi="Times New Roman"/>
                <w:sz w:val="20"/>
              </w:rPr>
              <w:t>F2.00</w:t>
            </w:r>
          </w:p>
        </w:tc>
      </w:tr>
      <w:tr w:rsidR="00AE3DB2" w14:paraId="436A5A59" w14:textId="77777777" w:rsidTr="00CE25DD">
        <w:trPr>
          <w:trHeight w:val="340"/>
        </w:trPr>
        <w:tc>
          <w:tcPr>
            <w:tcW w:w="2880" w:type="dxa"/>
            <w:vAlign w:val="center"/>
          </w:tcPr>
          <w:p w14:paraId="4B43C553" w14:textId="77777777" w:rsidR="00AE3DB2" w:rsidRDefault="00AE3DB2" w:rsidP="00CE25DD">
            <w:r>
              <w:rPr>
                <w:rFonts w:ascii="Times New Roman" w:eastAsia="仿宋_GB2312" w:hAnsi="Times New Roman"/>
                <w:sz w:val="20"/>
              </w:rPr>
              <w:t>2.50≤</w:t>
            </w:r>
            <w:proofErr w:type="gramStart"/>
            <w:r>
              <w:rPr>
                <w:rFonts w:ascii="Times New Roman" w:eastAsia="仿宋_GB2312" w:hAnsi="Times New Roman"/>
                <w:sz w:val="20"/>
              </w:rPr>
              <w:t>F,&lt;</w:t>
            </w:r>
            <w:proofErr w:type="gramEnd"/>
            <w:r>
              <w:rPr>
                <w:rFonts w:ascii="Times New Roman" w:eastAsia="仿宋_GB2312" w:hAnsi="Times New Roman"/>
                <w:sz w:val="20"/>
              </w:rPr>
              <w:t>3.00</w:t>
            </w:r>
          </w:p>
        </w:tc>
        <w:tc>
          <w:tcPr>
            <w:tcW w:w="2880" w:type="dxa"/>
            <w:vAlign w:val="center"/>
          </w:tcPr>
          <w:p w14:paraId="01F5EF87" w14:textId="77777777" w:rsidR="00AE3DB2" w:rsidRDefault="00AE3DB2" w:rsidP="00CE25DD">
            <w:r>
              <w:rPr>
                <w:rFonts w:ascii="Times New Roman" w:eastAsia="仿宋_GB2312" w:hAnsi="Times New Roman"/>
                <w:sz w:val="20"/>
              </w:rPr>
              <w:t>F2.50</w:t>
            </w:r>
          </w:p>
        </w:tc>
        <w:tc>
          <w:tcPr>
            <w:tcW w:w="2880" w:type="dxa"/>
            <w:vAlign w:val="center"/>
          </w:tcPr>
          <w:p w14:paraId="52F2B082" w14:textId="77777777" w:rsidR="00AE3DB2" w:rsidRDefault="00AE3DB2" w:rsidP="00CE25DD">
            <w:r>
              <w:rPr>
                <w:rFonts w:ascii="Times New Roman" w:eastAsia="仿宋_GB2312" w:hAnsi="Times New Roman"/>
                <w:sz w:val="20"/>
              </w:rPr>
              <w:t>F2.50</w:t>
            </w:r>
          </w:p>
        </w:tc>
      </w:tr>
      <w:tr w:rsidR="00AE3DB2" w14:paraId="7D73A3B1" w14:textId="77777777" w:rsidTr="00CE25DD">
        <w:trPr>
          <w:trHeight w:val="340"/>
        </w:trPr>
        <w:tc>
          <w:tcPr>
            <w:tcW w:w="2880" w:type="dxa"/>
            <w:vAlign w:val="center"/>
          </w:tcPr>
          <w:p w14:paraId="6218E11F" w14:textId="77777777" w:rsidR="00AE3DB2" w:rsidRDefault="00AE3DB2" w:rsidP="00CE25DD">
            <w:r>
              <w:rPr>
                <w:rFonts w:ascii="Times New Roman" w:eastAsia="仿宋_GB2312" w:hAnsi="Times New Roman"/>
                <w:sz w:val="20"/>
              </w:rPr>
              <w:t>F≥3.00</w:t>
            </w:r>
          </w:p>
        </w:tc>
        <w:tc>
          <w:tcPr>
            <w:tcW w:w="2880" w:type="dxa"/>
            <w:vAlign w:val="center"/>
          </w:tcPr>
          <w:p w14:paraId="6F814577" w14:textId="77777777" w:rsidR="00AE3DB2" w:rsidRDefault="00AE3DB2" w:rsidP="00CE25DD">
            <w:r>
              <w:rPr>
                <w:rFonts w:ascii="Times New Roman" w:eastAsia="仿宋_GB2312" w:hAnsi="Times New Roman"/>
                <w:sz w:val="20"/>
              </w:rPr>
              <w:t>F3.00</w:t>
            </w:r>
          </w:p>
        </w:tc>
        <w:tc>
          <w:tcPr>
            <w:tcW w:w="2880" w:type="dxa"/>
            <w:vAlign w:val="center"/>
          </w:tcPr>
          <w:p w14:paraId="4D52D2F3" w14:textId="77777777" w:rsidR="00AE3DB2" w:rsidRDefault="00AE3DB2" w:rsidP="00CE25DD">
            <w:r>
              <w:rPr>
                <w:rFonts w:ascii="Times New Roman" w:eastAsia="仿宋_GB2312" w:hAnsi="Times New Roman"/>
                <w:sz w:val="20"/>
              </w:rPr>
              <w:t>F3.00</w:t>
            </w:r>
          </w:p>
        </w:tc>
      </w:tr>
    </w:tbl>
    <w:p w14:paraId="585BC153"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注：</w:t>
      </w:r>
      <m:oMath>
        <m:sSub>
          <m:sSubPr>
            <m:ctrlPr>
              <w:rPr>
                <w:rFonts w:ascii="Cambria Math" w:hAnsi="Cambria Math"/>
              </w:rPr>
            </m:ctrlPr>
          </m:sSubPr>
          <m:e>
            <m:r>
              <w:rPr>
                <w:rFonts w:ascii="Cambria Math" w:hAnsi="Cambria Math"/>
                <w:color w:val="000000"/>
                <w:lang w:eastAsia="zh-CN"/>
              </w:rPr>
              <m:t>F</m:t>
            </m:r>
          </m:e>
          <m:sub>
            <m:r>
              <w:rPr>
                <w:rFonts w:ascii="Cambria Math" w:hAnsi="Cambria Math"/>
                <w:lang w:eastAsia="zh-CN"/>
              </w:rPr>
              <m:t>p</m:t>
            </m:r>
          </m:sub>
        </m:sSub>
      </m:oMath>
      <w:r>
        <w:rPr>
          <w:rFonts w:ascii="仿宋_GB2312" w:eastAsia="仿宋_GB2312" w:hAnsi="仿宋_GB2312"/>
          <w:color w:val="000000"/>
          <w:sz w:val="32"/>
          <w:lang w:eastAsia="zh-CN"/>
        </w:rPr>
        <w:t>采用建筑纤维类火灾升温试验条件；</w:t>
      </w:r>
      <m:oMath>
        <m:sSub>
          <m:sSubPr>
            <m:ctrlPr>
              <w:rPr>
                <w:rFonts w:ascii="Cambria Math" w:hAnsi="Cambria Math"/>
              </w:rPr>
            </m:ctrlPr>
          </m:sSubPr>
          <m:e>
            <m:r>
              <w:rPr>
                <w:rFonts w:ascii="Cambria Math" w:hAnsi="Cambria Math"/>
                <w:color w:val="000000"/>
                <w:lang w:eastAsia="zh-CN"/>
              </w:rPr>
              <m:t>F</m:t>
            </m:r>
          </m:e>
          <m:sub>
            <m:r>
              <w:rPr>
                <w:rFonts w:ascii="Cambria Math" w:hAnsi="Cambria Math"/>
                <w:lang w:eastAsia="zh-CN"/>
              </w:rPr>
              <m:t>t</m:t>
            </m:r>
          </m:sub>
        </m:sSub>
      </m:oMath>
      <w:r>
        <w:rPr>
          <w:rFonts w:ascii="仿宋_GB2312" w:eastAsia="仿宋_GB2312" w:hAnsi="仿宋_GB2312"/>
          <w:color w:val="000000"/>
          <w:sz w:val="32"/>
          <w:lang w:eastAsia="zh-CN"/>
        </w:rPr>
        <w:t>采用烃类(HC)火灾升温试验条件。</w:t>
      </w:r>
    </w:p>
    <w:p w14:paraId="53146917" w14:textId="77777777" w:rsidR="00AE3DB2" w:rsidRDefault="00AE3DB2" w:rsidP="00AE3DB2">
      <w:pPr>
        <w:pStyle w:val="3"/>
        <w:spacing w:after="20" w:line="572" w:lineRule="atLeast"/>
        <w:ind w:firstLine="640"/>
        <w:rPr>
          <w:lang w:eastAsia="zh-CN"/>
        </w:rPr>
      </w:pPr>
      <w:r>
        <w:rPr>
          <w:rFonts w:ascii="黑体" w:eastAsia="黑体" w:hAnsi="黑体"/>
          <w:b w:val="0"/>
          <w:color w:val="000000"/>
          <w:sz w:val="34"/>
          <w:lang w:eastAsia="zh-CN"/>
        </w:rPr>
        <w:lastRenderedPageBreak/>
        <w:t>(三)钢结构防火涂料型号</w:t>
      </w:r>
    </w:p>
    <w:p w14:paraId="51106C53"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钢结构防火涂料的产品代号以字母GT表示；钢结构防火涂料的相关特征代号为：使用场所特征代号N和W分别代表室内和室外，分散介质特征代号S和R分别代表水基性和溶剂性，防火机理特征代号P和F分别代表膨胀型和非膨胀型；主参数代号以表1A414032中的耐火性能分级代号表示。</w:t>
      </w:r>
    </w:p>
    <w:p w14:paraId="7E18853D"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钢结构防火涂料的型号编制方法如下：</w:t>
      </w:r>
    </w:p>
    <w:p w14:paraId="0DBC743E" w14:textId="77777777" w:rsidR="00AE3DB2" w:rsidRDefault="00AE3DB2" w:rsidP="00AE3DB2">
      <w:pPr>
        <w:jc w:val="center"/>
      </w:pPr>
      <w:r>
        <w:rPr>
          <w:noProof/>
        </w:rPr>
        <w:drawing>
          <wp:inline distT="0" distB="0" distL="0" distR="0" wp14:anchorId="1D5185C1" wp14:editId="5B8507F7">
            <wp:extent cx="2912479" cy="11409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
                    <a:stretch>
                      <a:fillRect/>
                    </a:stretch>
                  </pic:blipFill>
                  <pic:spPr>
                    <a:xfrm>
                      <a:off x="0" y="0"/>
                      <a:ext cx="2912479" cy="1140971"/>
                    </a:xfrm>
                    <a:prstGeom prst="rect">
                      <a:avLst/>
                    </a:prstGeom>
                  </pic:spPr>
                </pic:pic>
              </a:graphicData>
            </a:graphic>
          </wp:inline>
        </w:drawing>
      </w:r>
    </w:p>
    <w:p w14:paraId="11C42466"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示例1：</w:t>
      </w:r>
      <m:oMath>
        <m:r>
          <w:rPr>
            <w:rFonts w:ascii="Cambria Math" w:hAnsi="Cambria Math"/>
            <w:color w:val="000000"/>
            <w:lang w:eastAsia="zh-CN"/>
          </w:rPr>
          <m:t>GT-NRP-</m:t>
        </m:r>
        <m:sSub>
          <m:sSubPr>
            <m:ctrlPr>
              <w:rPr>
                <w:rFonts w:ascii="Cambria Math" w:hAnsi="Cambria Math"/>
              </w:rPr>
            </m:ctrlPr>
          </m:sSubPr>
          <m:e>
            <m:r>
              <w:rPr>
                <w:rFonts w:ascii="Cambria Math" w:hAnsi="Cambria Math"/>
                <w:lang w:eastAsia="zh-CN"/>
              </w:rPr>
              <m:t>F</m:t>
            </m:r>
          </m:e>
          <m:sub>
            <m:r>
              <w:rPr>
                <w:rFonts w:ascii="Cambria Math" w:hAnsi="Cambria Math"/>
                <w:lang w:eastAsia="zh-CN"/>
              </w:rPr>
              <m:t>p</m:t>
            </m:r>
          </m:sub>
        </m:sSub>
        <m:r>
          <w:rPr>
            <w:rFonts w:ascii="Cambria Math" w:hAnsi="Cambria Math"/>
            <w:lang w:eastAsia="zh-CN"/>
          </w:rPr>
          <m:t>1.50-A</m:t>
        </m:r>
      </m:oMath>
      <w:r>
        <w:rPr>
          <w:rFonts w:ascii="仿宋_GB2312" w:eastAsia="仿宋_GB2312" w:hAnsi="仿宋_GB2312"/>
          <w:color w:val="000000"/>
          <w:sz w:val="32"/>
          <w:lang w:eastAsia="zh-CN"/>
        </w:rPr>
        <w:t>,表示室内用溶剂性膨胀型普通钢结构防火涂料，耐火性能为</w:t>
      </w:r>
      <m:oMath>
        <m:sSub>
          <m:sSubPr>
            <m:ctrlPr>
              <w:rPr>
                <w:rFonts w:ascii="Cambria Math" w:hAnsi="Cambria Math"/>
              </w:rPr>
            </m:ctrlPr>
          </m:sSubPr>
          <m:e>
            <m:r>
              <w:rPr>
                <w:rFonts w:ascii="Cambria Math" w:hAnsi="Cambria Math"/>
                <w:color w:val="000000"/>
                <w:lang w:eastAsia="zh-CN"/>
              </w:rPr>
              <m:t>F</m:t>
            </m:r>
          </m:e>
          <m:sub>
            <m:r>
              <w:rPr>
                <w:rFonts w:ascii="Cambria Math" w:hAnsi="Cambria Math"/>
                <w:lang w:eastAsia="zh-CN"/>
              </w:rPr>
              <m:t>p</m:t>
            </m:r>
          </m:sub>
        </m:sSub>
        <m:r>
          <w:rPr>
            <w:rFonts w:ascii="Cambria Math" w:hAnsi="Cambria Math"/>
            <w:lang w:eastAsia="zh-CN"/>
          </w:rPr>
          <m:t>1.50</m:t>
        </m:r>
      </m:oMath>
      <w:r>
        <w:rPr>
          <w:rFonts w:ascii="仿宋_GB2312" w:eastAsia="仿宋_GB2312" w:hAnsi="仿宋_GB2312"/>
          <w:color w:val="000000"/>
          <w:sz w:val="32"/>
          <w:lang w:eastAsia="zh-CN"/>
        </w:rPr>
        <w:t>,自定义代号为A。</w:t>
      </w:r>
    </w:p>
    <w:p w14:paraId="2CB52789"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示例</w:t>
      </w:r>
      <m:oMath>
        <m:r>
          <w:rPr>
            <w:rFonts w:ascii="Cambria Math" w:hAnsi="Cambria Math"/>
            <w:color w:val="000000"/>
            <w:lang w:eastAsia="zh-CN"/>
          </w:rPr>
          <m:t>2:GT-WSF-</m:t>
        </m:r>
        <m:sSub>
          <m:sSubPr>
            <m:ctrlPr>
              <w:rPr>
                <w:rFonts w:ascii="Cambria Math" w:hAnsi="Cambria Math"/>
              </w:rPr>
            </m:ctrlPr>
          </m:sSubPr>
          <m:e>
            <m:r>
              <w:rPr>
                <w:rFonts w:ascii="Cambria Math" w:hAnsi="Cambria Math"/>
                <w:lang w:eastAsia="zh-CN"/>
              </w:rPr>
              <m:t>F</m:t>
            </m:r>
          </m:e>
          <m:sub>
            <m:r>
              <w:rPr>
                <w:rFonts w:ascii="Cambria Math" w:hAnsi="Cambria Math"/>
                <w:lang w:eastAsia="zh-CN"/>
              </w:rPr>
              <m:t>t</m:t>
            </m:r>
          </m:sub>
        </m:sSub>
        <m:r>
          <w:rPr>
            <w:rFonts w:ascii="Cambria Math" w:hAnsi="Cambria Math"/>
            <w:lang w:eastAsia="zh-CN"/>
          </w:rPr>
          <m:t>2.00-B</m:t>
        </m:r>
      </m:oMath>
      <w:r>
        <w:rPr>
          <w:rFonts w:ascii="仿宋_GB2312" w:eastAsia="仿宋_GB2312" w:hAnsi="仿宋_GB2312"/>
          <w:color w:val="000000"/>
          <w:sz w:val="32"/>
          <w:lang w:eastAsia="zh-CN"/>
        </w:rPr>
        <w:t>,表示室外用水基性非膨胀型特种钢结构防火涂料，耐火性能为</w:t>
      </w:r>
      <m:oMath>
        <m:sSub>
          <m:sSubPr>
            <m:ctrlPr>
              <w:rPr>
                <w:rFonts w:ascii="Cambria Math" w:hAnsi="Cambria Math"/>
              </w:rPr>
            </m:ctrlPr>
          </m:sSubPr>
          <m:e>
            <m:r>
              <w:rPr>
                <w:rFonts w:ascii="Cambria Math" w:hAnsi="Cambria Math"/>
                <w:color w:val="000000"/>
                <w:lang w:eastAsia="zh-CN"/>
              </w:rPr>
              <m:t>F</m:t>
            </m:r>
          </m:e>
          <m:sub>
            <m:r>
              <w:rPr>
                <w:rFonts w:ascii="Cambria Math" w:hAnsi="Cambria Math"/>
                <w:lang w:eastAsia="zh-CN"/>
              </w:rPr>
              <m:t>t</m:t>
            </m:r>
          </m:sub>
        </m:sSub>
        <m:r>
          <w:rPr>
            <w:rFonts w:ascii="Cambria Math" w:hAnsi="Cambria Math"/>
            <w:lang w:eastAsia="zh-CN"/>
          </w:rPr>
          <m:t>2.00</m:t>
        </m:r>
      </m:oMath>
      <w:r>
        <w:rPr>
          <w:rFonts w:ascii="仿宋_GB2312" w:eastAsia="仿宋_GB2312" w:hAnsi="仿宋_GB2312"/>
          <w:color w:val="000000"/>
          <w:sz w:val="32"/>
          <w:lang w:eastAsia="zh-CN"/>
        </w:rPr>
        <w:t>,自定义代号为B。</w:t>
      </w:r>
    </w:p>
    <w:p w14:paraId="3CBA7B60" w14:textId="77777777" w:rsidR="00AE3DB2" w:rsidRDefault="00AE3DB2" w:rsidP="00AE3DB2">
      <w:pPr>
        <w:pStyle w:val="3"/>
        <w:spacing w:after="20" w:line="572" w:lineRule="atLeast"/>
        <w:ind w:firstLine="640"/>
        <w:rPr>
          <w:lang w:eastAsia="zh-CN"/>
        </w:rPr>
      </w:pPr>
      <w:r>
        <w:rPr>
          <w:rFonts w:ascii="黑体" w:eastAsia="黑体" w:hAnsi="黑体"/>
          <w:b w:val="0"/>
          <w:color w:val="000000"/>
          <w:sz w:val="34"/>
          <w:lang w:eastAsia="zh-CN"/>
        </w:rPr>
        <w:t>(四)一般技术要求</w:t>
      </w:r>
    </w:p>
    <w:p w14:paraId="591BEC16"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(1)用于生产钢结构防火涂料的原材料应符合国家环境保护和安全卫生相关法律法规的规定。</w:t>
      </w:r>
    </w:p>
    <w:p w14:paraId="1F3CFC82"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(2)钢结构防火涂料应能采用规定的分散介质进行调和、稀释。</w:t>
      </w:r>
    </w:p>
    <w:p w14:paraId="01AFCC04"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lastRenderedPageBreak/>
        <w:t>(3)钢结构防火涂料应能采用喷涂、抹涂、刷涂、辊涂、刮涂等方法中的一种或多种方法施工，并能在正常的自然环境条件下干燥固化，涂层实干后不应有刺激性气味。</w:t>
      </w:r>
    </w:p>
    <w:p w14:paraId="50325F30"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(4)复层涂料应相互配套，底层涂料应能同防锈漆配合使用，或者底层涂料自身具有防锈性能。</w:t>
      </w:r>
    </w:p>
    <w:p w14:paraId="377A94F3"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(5)膨胀型钢结构防火涂料的涂层厚度不应小于1.5mm,非膨胀型钢结构防火涂料的涂层厚度不应小于15mm。</w:t>
      </w:r>
    </w:p>
    <w:p w14:paraId="74B0F6F4" w14:textId="77777777" w:rsidR="00AE3DB2" w:rsidRDefault="00AE3DB2" w:rsidP="00AE3DB2">
      <w:pPr>
        <w:pStyle w:val="2"/>
        <w:spacing w:after="20" w:line="572" w:lineRule="atLeast"/>
        <w:ind w:firstLine="640"/>
        <w:rPr>
          <w:lang w:eastAsia="zh-CN"/>
        </w:rPr>
      </w:pPr>
      <w:r>
        <w:rPr>
          <w:rFonts w:ascii="黑体" w:eastAsia="黑体" w:hAnsi="黑体"/>
          <w:b w:val="0"/>
          <w:color w:val="000000"/>
          <w:sz w:val="34"/>
          <w:lang w:eastAsia="zh-CN"/>
        </w:rPr>
        <w:t>二、饰面型防火涂料</w:t>
      </w:r>
    </w:p>
    <w:p w14:paraId="43FEF630"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饰面型防火涂料是涂覆于可燃基材（如木材、纤维板、纸板及制品）表面，具有一定装饰作用，受火灾能膨胀发泡形成隔热保护层的涂料。其按分散介质可分为以水作为分散介质的水基性饰面型防火涂料、以有机溶剂作为分散介质的</w:t>
      </w:r>
      <w:proofErr w:type="gramStart"/>
      <w:r>
        <w:rPr>
          <w:rFonts w:ascii="仿宋_GB2312" w:eastAsia="仿宋_GB2312" w:hAnsi="仿宋_GB2312"/>
          <w:color w:val="000000"/>
          <w:sz w:val="32"/>
          <w:lang w:eastAsia="zh-CN"/>
        </w:rPr>
        <w:t>溶剂性饰面型</w:t>
      </w:r>
      <w:proofErr w:type="gramEnd"/>
      <w:r>
        <w:rPr>
          <w:rFonts w:ascii="仿宋_GB2312" w:eastAsia="仿宋_GB2312" w:hAnsi="仿宋_GB2312"/>
          <w:color w:val="000000"/>
          <w:sz w:val="32"/>
          <w:lang w:eastAsia="zh-CN"/>
        </w:rPr>
        <w:t>防火涂料。</w:t>
      </w:r>
    </w:p>
    <w:p w14:paraId="2737598B"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饰面型防火涂料的产品代号以字母SMT表示，分散介质特征代号分别为S(水基性)和R(溶剂性)。饰面型防火涂料的型号编制方法为：</w:t>
      </w:r>
    </w:p>
    <w:p w14:paraId="1172F5A0" w14:textId="77777777" w:rsidR="00AE3DB2" w:rsidRDefault="00AE3DB2" w:rsidP="00AE3DB2">
      <w:pPr>
        <w:spacing w:after="20" w:line="572" w:lineRule="atLeast"/>
        <w:jc w:val="both"/>
        <w:rPr>
          <w:lang w:eastAsia="zh-CN"/>
        </w:rPr>
      </w:pPr>
      <w:r>
        <w:rPr>
          <w:rFonts w:ascii="仿宋_GB2312" w:eastAsia="仿宋_GB2312" w:hAnsi="仿宋_GB2312"/>
          <w:color w:val="000000"/>
          <w:sz w:val="32"/>
          <w:lang w:eastAsia="zh-CN"/>
        </w:rPr>
        <w:t>SMT-分散介质特征代号/企业自定义代号</w:t>
      </w:r>
    </w:p>
    <w:p w14:paraId="0245C396"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示例：SMT-S/A表示水基性饰面型防火涂料，企业自定义代号为</w:t>
      </w:r>
      <m:oMath>
        <m:sSub>
          <m:sSubPr>
            <m:ctrlPr>
              <w:rPr>
                <w:rFonts w:ascii="Cambria Math" w:hAnsi="Cambria Math"/>
              </w:rPr>
            </m:ctrlPr>
          </m:sSubPr>
          <m:e>
            <m:r>
              <w:rPr>
                <w:rFonts w:ascii="Cambria Math" w:hAnsi="Cambria Math"/>
                <w:color w:val="000000"/>
                <w:lang w:eastAsia="zh-CN"/>
              </w:rPr>
              <m:t>A</m:t>
            </m:r>
          </m:e>
          <m:sub>
            <m:r>
              <w:rPr>
                <w:rFonts w:ascii="Cambria Math" w:hAnsi="Cambria Math"/>
                <w:lang w:eastAsia="zh-CN"/>
              </w:rPr>
              <m:t>o</m:t>
            </m:r>
          </m:sub>
        </m:sSub>
      </m:oMath>
    </w:p>
    <w:p w14:paraId="496CF768" w14:textId="77777777" w:rsidR="00AE3DB2" w:rsidRDefault="00AE3DB2" w:rsidP="00AE3DB2">
      <w:pPr>
        <w:pStyle w:val="2"/>
        <w:spacing w:after="20" w:line="572" w:lineRule="atLeast"/>
        <w:ind w:firstLine="640"/>
        <w:rPr>
          <w:lang w:eastAsia="zh-CN"/>
        </w:rPr>
      </w:pPr>
      <w:r>
        <w:rPr>
          <w:rFonts w:ascii="黑体" w:eastAsia="黑体" w:hAnsi="黑体"/>
          <w:b w:val="0"/>
          <w:color w:val="000000"/>
          <w:sz w:val="34"/>
          <w:lang w:eastAsia="zh-CN"/>
        </w:rPr>
        <w:lastRenderedPageBreak/>
        <w:t>三、水性防火阻燃液</w:t>
      </w:r>
    </w:p>
    <w:p w14:paraId="745C272C"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水性防火阻燃液又称水性防火剂、水性阻燃剂，2011年公安部颁布的公共安全行业标准《水基型阻燃处理剂》XF159—2011中则将其正式命名为水基型阻燃处理剂。根据该标准的定义，水性防火阻燃液（水基型阻燃处理剂）是指以水为分散介质，采用喷涂或浸渍等方法使木材、织物或纸板等获得规定的燃烧性能的阻燃剂。</w:t>
      </w:r>
    </w:p>
    <w:p w14:paraId="0E57C464"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根据水性防火阻燃液的使用对象，可分为木材阻燃处理用的水性防火阻燃液、织物阻燃处理用的水性防火阻燃液及纸板阻燃处理用的水性防火阻燃液三类。木材阻燃处理用的水性防火阻燃液可处理各种木材、纤维板、刨花板、竹制品等，经处理后使这些木竹制品由易燃性材料成</w:t>
      </w:r>
      <w:proofErr w:type="gramStart"/>
      <w:r>
        <w:rPr>
          <w:rFonts w:ascii="仿宋_GB2312" w:eastAsia="仿宋_GB2312" w:hAnsi="仿宋_GB2312"/>
          <w:color w:val="000000"/>
          <w:sz w:val="32"/>
          <w:lang w:eastAsia="zh-CN"/>
        </w:rPr>
        <w:t>为难燃性材料</w:t>
      </w:r>
      <w:proofErr w:type="gramEnd"/>
      <w:r>
        <w:rPr>
          <w:rFonts w:ascii="仿宋_GB2312" w:eastAsia="仿宋_GB2312" w:hAnsi="仿宋_GB2312"/>
          <w:color w:val="000000"/>
          <w:sz w:val="32"/>
          <w:lang w:eastAsia="zh-CN"/>
        </w:rPr>
        <w:t>；织物阻燃处理用的水性防火阻燃液可处理各种纯棉织物、化纤织物、混纺织物及丝绸麻织物等，使之成</w:t>
      </w:r>
      <w:proofErr w:type="gramStart"/>
      <w:r>
        <w:rPr>
          <w:rFonts w:ascii="仿宋_GB2312" w:eastAsia="仿宋_GB2312" w:hAnsi="仿宋_GB2312"/>
          <w:color w:val="000000"/>
          <w:sz w:val="32"/>
          <w:lang w:eastAsia="zh-CN"/>
        </w:rPr>
        <w:t>为难燃性材料</w:t>
      </w:r>
      <w:proofErr w:type="gramEnd"/>
      <w:r>
        <w:rPr>
          <w:rFonts w:ascii="仿宋_GB2312" w:eastAsia="仿宋_GB2312" w:hAnsi="仿宋_GB2312"/>
          <w:color w:val="000000"/>
          <w:sz w:val="32"/>
          <w:lang w:eastAsia="zh-CN"/>
        </w:rPr>
        <w:t>；纸和纸板阻燃处理用的水性防火</w:t>
      </w:r>
      <w:proofErr w:type="gramStart"/>
      <w:r>
        <w:rPr>
          <w:rFonts w:ascii="仿宋_GB2312" w:eastAsia="仿宋_GB2312" w:hAnsi="仿宋_GB2312"/>
          <w:color w:val="000000"/>
          <w:sz w:val="32"/>
          <w:lang w:eastAsia="zh-CN"/>
        </w:rPr>
        <w:t>阻燃液则可</w:t>
      </w:r>
      <w:proofErr w:type="gramEnd"/>
      <w:r>
        <w:rPr>
          <w:rFonts w:ascii="仿宋_GB2312" w:eastAsia="仿宋_GB2312" w:hAnsi="仿宋_GB2312"/>
          <w:color w:val="000000"/>
          <w:sz w:val="32"/>
          <w:lang w:eastAsia="zh-CN"/>
        </w:rPr>
        <w:t>处理各种纸张、纸板、墙纸、纸面装饰顶棚、纸箱等易燃材料，可明显改变它们的燃烧性能，使其成为阻燃材料。经水性防火阻燃液处理后的材料一般具有难燃、离火自熄的特点。此外用防火阻燃液处理材料后，不影响原有材料的外貌、色泽和手感，对木材、织物和纸板还兼具有防蛀、防腐的作用。</w:t>
      </w:r>
    </w:p>
    <w:p w14:paraId="5815D81D" w14:textId="77777777" w:rsidR="00AE3DB2" w:rsidRDefault="00AE3DB2" w:rsidP="00AE3DB2">
      <w:pPr>
        <w:pStyle w:val="2"/>
        <w:spacing w:after="20" w:line="572" w:lineRule="atLeast"/>
        <w:ind w:firstLine="640"/>
        <w:rPr>
          <w:lang w:eastAsia="zh-CN"/>
        </w:rPr>
      </w:pPr>
      <w:r>
        <w:rPr>
          <w:rFonts w:ascii="黑体" w:eastAsia="黑体" w:hAnsi="黑体"/>
          <w:b w:val="0"/>
          <w:color w:val="000000"/>
          <w:sz w:val="34"/>
          <w:lang w:eastAsia="zh-CN"/>
        </w:rPr>
        <w:lastRenderedPageBreak/>
        <w:t>四、防火堵料</w:t>
      </w:r>
    </w:p>
    <w:p w14:paraId="5910BBAE"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防火堵料是专门用于封堵建筑物中各种贯穿物，如电缆、风管、油管、气管等穿过墙壁、楼板等形成的各种开孔以及电缆桥架等，具有防火隔热功能且便于更换的材料。</w:t>
      </w:r>
    </w:p>
    <w:p w14:paraId="71FCF8AB"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根据防火封堵材料的组成、形状与性能特点划分主要有三类：以有机高分子材料为胶粘剂的有机防火堵料；以快干水泥为胶凝材料的无机防火堵料；将阻燃材料用织物包裹形成的防火包。这三类防火堵料各有特点，在建筑物的防火封堵中均有应用。</w:t>
      </w:r>
    </w:p>
    <w:p w14:paraId="10DCBEFF"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有机防火堵料又称可塑性防火堵料，它是以合成树脂为胶粘剂，并配以防火助剂、填料制成的。此类堵料在使用过程长期</w:t>
      </w:r>
      <w:proofErr w:type="gramStart"/>
      <w:r>
        <w:rPr>
          <w:rFonts w:ascii="仿宋_GB2312" w:eastAsia="仿宋_GB2312" w:hAnsi="仿宋_GB2312"/>
          <w:color w:val="000000"/>
          <w:sz w:val="32"/>
          <w:lang w:eastAsia="zh-CN"/>
        </w:rPr>
        <w:t>不</w:t>
      </w:r>
      <w:proofErr w:type="gramEnd"/>
      <w:r>
        <w:rPr>
          <w:rFonts w:ascii="仿宋_GB2312" w:eastAsia="仿宋_GB2312" w:hAnsi="仿宋_GB2312"/>
          <w:color w:val="000000"/>
          <w:sz w:val="32"/>
          <w:lang w:eastAsia="zh-CN"/>
        </w:rPr>
        <w:t>硬化，可塑性好，容易封堵各种不规则形状的孔洞，能够重复使用。遇火时发泡膨胀，因此具有优异的防火、水密、气密性能。施工操作和更换较为方便，因此尤其适合需经常更换或增减电缆、管道的场合。</w:t>
      </w:r>
    </w:p>
    <w:p w14:paraId="7F97EE50"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无机防火堵料又</w:t>
      </w:r>
      <w:proofErr w:type="gramStart"/>
      <w:r>
        <w:rPr>
          <w:rFonts w:ascii="仿宋_GB2312" w:eastAsia="仿宋_GB2312" w:hAnsi="仿宋_GB2312"/>
          <w:color w:val="000000"/>
          <w:sz w:val="32"/>
          <w:lang w:eastAsia="zh-CN"/>
        </w:rPr>
        <w:t>称速固型</w:t>
      </w:r>
      <w:proofErr w:type="gramEnd"/>
      <w:r>
        <w:rPr>
          <w:rFonts w:ascii="仿宋_GB2312" w:eastAsia="仿宋_GB2312" w:hAnsi="仿宋_GB2312"/>
          <w:color w:val="000000"/>
          <w:sz w:val="32"/>
          <w:lang w:eastAsia="zh-CN"/>
        </w:rPr>
        <w:t>防火堵料，是以快干水泥为基料，添加防火剂、耐火材料等经研磨、混合而成的防火堵料，使用时加水拌合即可。无机防火堵料具有无毒无味、固化快速，耐火极限与力学强度较高，能承受一定重量，又有一定可拆性的特点。有较好的防火和水密、气密性能。主要用于封堵后基本不变的场合。</w:t>
      </w:r>
    </w:p>
    <w:p w14:paraId="029E5D51"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lastRenderedPageBreak/>
        <w:t>防火包又称耐火包或阻火包，是采用特选的纤维织物做包袋，装填膨胀性的防火隔热材料制成的枕状物体，因此又称防火枕。使用时通过垒砌、填塞等方法封堵孔洞。适合于较大孔洞的防火封堵或电缆桥架防火分隔，施工操作和更换较为方便，因此尤其适合需经常更换或增减电缆、管道的场合。</w:t>
      </w:r>
    </w:p>
    <w:p w14:paraId="106E8F6C" w14:textId="77777777" w:rsidR="00AE3DB2" w:rsidRDefault="00AE3DB2" w:rsidP="00AE3DB2">
      <w:pPr>
        <w:pStyle w:val="2"/>
        <w:spacing w:after="20" w:line="572" w:lineRule="atLeast"/>
        <w:ind w:firstLine="640"/>
        <w:rPr>
          <w:lang w:eastAsia="zh-CN"/>
        </w:rPr>
      </w:pPr>
      <w:r>
        <w:rPr>
          <w:rFonts w:ascii="黑体" w:eastAsia="黑体" w:hAnsi="黑体"/>
          <w:b w:val="0"/>
          <w:color w:val="000000"/>
          <w:sz w:val="34"/>
          <w:lang w:eastAsia="zh-CN"/>
        </w:rPr>
        <w:t>五、防火玻璃</w:t>
      </w:r>
    </w:p>
    <w:p w14:paraId="7C80CF0A"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目前，国内外生产的建筑用防火玻璃品种很多，归纳起来主要可分为两大类，即非隔热型防火玻璃和隔热型防火玻璃。非隔热型防火玻璃又称为耐火玻璃。这类防火玻璃均为单片结构的，其中又可分为夹丝玻璃、耐热玻璃和微晶玻璃三类。防火玻璃</w:t>
      </w:r>
      <w:proofErr w:type="gramStart"/>
      <w:r>
        <w:rPr>
          <w:rFonts w:ascii="仿宋_GB2312" w:eastAsia="仿宋_GB2312" w:hAnsi="仿宋_GB2312"/>
          <w:color w:val="000000"/>
          <w:sz w:val="32"/>
          <w:lang w:eastAsia="zh-CN"/>
        </w:rPr>
        <w:t>按耐</w:t>
      </w:r>
      <w:proofErr w:type="gramEnd"/>
      <w:r>
        <w:rPr>
          <w:rFonts w:ascii="仿宋_GB2312" w:eastAsia="仿宋_GB2312" w:hAnsi="仿宋_GB2312"/>
          <w:color w:val="000000"/>
          <w:sz w:val="32"/>
          <w:lang w:eastAsia="zh-CN"/>
        </w:rPr>
        <w:t>火极限可分为五个等级：0.50h、1.00h、1.50h、2.00h、3.00h。</w:t>
      </w:r>
    </w:p>
    <w:p w14:paraId="7493BB4D"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隔热型防火玻璃为夹层或多层结构，因此也称为复合型防火玻璃。这类防火玻璃也有两种产品形式，即多层粘合型和灌浆型。</w:t>
      </w:r>
    </w:p>
    <w:p w14:paraId="62855ECC"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(1)多层粘合型防火玻璃是将多层普通平板玻璃用无机胶凝材料粘结复合在一起，在一定条件下烘干形成的。此类防火玻璃的优点是强度高、透明度好，遇火时无机胶凝材料发泡膨胀，起到阻火隔热的作用；缺点是生产工艺较复杂，生产效率较低。无机胶凝材料本身碱性较强、不耐水，对平</w:t>
      </w:r>
      <w:r>
        <w:rPr>
          <w:rFonts w:ascii="仿宋_GB2312" w:eastAsia="仿宋_GB2312" w:hAnsi="仿宋_GB2312"/>
          <w:color w:val="000000"/>
          <w:sz w:val="32"/>
          <w:lang w:eastAsia="zh-CN"/>
        </w:rPr>
        <w:lastRenderedPageBreak/>
        <w:t>板玻璃有较大的腐蚀作用。使用一定时间后会变色、起泡，透明度下降。这类防火玻璃在我国目前有较多使用。</w:t>
      </w:r>
    </w:p>
    <w:p w14:paraId="3192B29E"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(2)灌浆型防火玻璃是由我国首创的。它是在两层或多层平板玻璃</w:t>
      </w:r>
      <w:proofErr w:type="gramStart"/>
      <w:r>
        <w:rPr>
          <w:rFonts w:ascii="仿宋_GB2312" w:eastAsia="仿宋_GB2312" w:hAnsi="仿宋_GB2312"/>
          <w:color w:val="000000"/>
          <w:sz w:val="32"/>
          <w:lang w:eastAsia="zh-CN"/>
        </w:rPr>
        <w:t>之间灌人有机</w:t>
      </w:r>
      <w:proofErr w:type="gramEnd"/>
      <w:r>
        <w:rPr>
          <w:rFonts w:ascii="仿宋_GB2312" w:eastAsia="仿宋_GB2312" w:hAnsi="仿宋_GB2312"/>
          <w:color w:val="000000"/>
          <w:sz w:val="32"/>
          <w:lang w:eastAsia="zh-CN"/>
        </w:rPr>
        <w:t>防火浆料或无机防火浆料后，使防火浆料固化制成的。其特点是生产工艺简单，生产效率较高。产品的透明度高，防火、防水性能好，还有较好的隔声性能。</w:t>
      </w:r>
    </w:p>
    <w:p w14:paraId="63DB3090" w14:textId="77777777" w:rsidR="00AE3DB2" w:rsidRDefault="00AE3DB2" w:rsidP="00AE3DB2">
      <w:pPr>
        <w:pStyle w:val="2"/>
        <w:spacing w:after="20" w:line="572" w:lineRule="atLeast"/>
        <w:ind w:firstLine="640"/>
        <w:rPr>
          <w:lang w:eastAsia="zh-CN"/>
        </w:rPr>
      </w:pPr>
      <w:r>
        <w:rPr>
          <w:rFonts w:ascii="黑体" w:eastAsia="黑体" w:hAnsi="黑体"/>
          <w:b w:val="0"/>
          <w:color w:val="000000"/>
          <w:sz w:val="34"/>
          <w:lang w:eastAsia="zh-CN"/>
        </w:rPr>
        <w:t>六、防火板材</w:t>
      </w:r>
    </w:p>
    <w:p w14:paraId="6AE2E3FE" w14:textId="77777777" w:rsidR="00AE3DB2" w:rsidRDefault="00AE3DB2" w:rsidP="00AE3DB2">
      <w:pPr>
        <w:spacing w:after="20" w:line="572" w:lineRule="atLeast"/>
        <w:ind w:firstLine="640"/>
        <w:jc w:val="both"/>
        <w:rPr>
          <w:lang w:eastAsia="zh-CN"/>
        </w:rPr>
      </w:pPr>
      <w:r>
        <w:rPr>
          <w:rFonts w:ascii="仿宋_GB2312" w:eastAsia="仿宋_GB2312" w:hAnsi="仿宋_GB2312"/>
          <w:color w:val="000000"/>
          <w:sz w:val="32"/>
          <w:lang w:eastAsia="zh-CN"/>
        </w:rPr>
        <w:t>防火板材品种很多，主要有纤维增强硅酸钙板、耐火纸面石膏板、纤维增强水泥平板(TK板)、GRC板、</w:t>
      </w:r>
      <w:proofErr w:type="gramStart"/>
      <w:r>
        <w:rPr>
          <w:rFonts w:ascii="仿宋_GB2312" w:eastAsia="仿宋_GB2312" w:hAnsi="仿宋_GB2312"/>
          <w:color w:val="000000"/>
          <w:sz w:val="32"/>
          <w:lang w:eastAsia="zh-CN"/>
        </w:rPr>
        <w:t>泰柏板</w:t>
      </w:r>
      <w:proofErr w:type="gramEnd"/>
      <w:r>
        <w:rPr>
          <w:rFonts w:ascii="仿宋_GB2312" w:eastAsia="仿宋_GB2312" w:hAnsi="仿宋_GB2312"/>
          <w:color w:val="000000"/>
          <w:sz w:val="32"/>
          <w:lang w:eastAsia="zh-CN"/>
        </w:rPr>
        <w:t>、GY板、滞燃型胶合板、难燃铝塑建筑装饰板、矿物棉防火吸声板、膨胀珍珠岩装饰吸声板等。防火板材广泛用于建筑物的顶棚、墙面、地面等多种部位。</w:t>
      </w:r>
    </w:p>
    <w:p w14:paraId="1B56D22C" w14:textId="77777777" w:rsidR="00267FC0" w:rsidRDefault="00267FC0">
      <w:pPr>
        <w:rPr>
          <w:lang w:eastAsia="zh-CN"/>
        </w:rPr>
      </w:pPr>
    </w:p>
    <w:sectPr w:rsidR="00267F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F16FE" w14:textId="77777777" w:rsidR="004A2B70" w:rsidRDefault="004A2B70" w:rsidP="00AE3DB2">
      <w:pPr>
        <w:spacing w:after="0" w:line="240" w:lineRule="auto"/>
      </w:pPr>
      <w:r>
        <w:separator/>
      </w:r>
    </w:p>
  </w:endnote>
  <w:endnote w:type="continuationSeparator" w:id="0">
    <w:p w14:paraId="54522BBD" w14:textId="77777777" w:rsidR="004A2B70" w:rsidRDefault="004A2B70" w:rsidP="00AE3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489A9" w14:textId="77777777" w:rsidR="004A2B70" w:rsidRDefault="004A2B70" w:rsidP="00AE3DB2">
      <w:pPr>
        <w:spacing w:after="0" w:line="240" w:lineRule="auto"/>
      </w:pPr>
      <w:r>
        <w:separator/>
      </w:r>
    </w:p>
  </w:footnote>
  <w:footnote w:type="continuationSeparator" w:id="0">
    <w:p w14:paraId="3F2337DC" w14:textId="77777777" w:rsidR="004A2B70" w:rsidRDefault="004A2B70" w:rsidP="00AE3D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BA8"/>
    <w:rsid w:val="00002AB5"/>
    <w:rsid w:val="00022042"/>
    <w:rsid w:val="0002777F"/>
    <w:rsid w:val="000537D7"/>
    <w:rsid w:val="00083791"/>
    <w:rsid w:val="000859D3"/>
    <w:rsid w:val="000A1DF6"/>
    <w:rsid w:val="000A59AD"/>
    <w:rsid w:val="00102853"/>
    <w:rsid w:val="00115523"/>
    <w:rsid w:val="001457FC"/>
    <w:rsid w:val="00156FAA"/>
    <w:rsid w:val="0018499A"/>
    <w:rsid w:val="001D4231"/>
    <w:rsid w:val="001E759D"/>
    <w:rsid w:val="00267FC0"/>
    <w:rsid w:val="002D1E79"/>
    <w:rsid w:val="002D6881"/>
    <w:rsid w:val="002E2954"/>
    <w:rsid w:val="00341280"/>
    <w:rsid w:val="00342A23"/>
    <w:rsid w:val="0034527E"/>
    <w:rsid w:val="00352D8F"/>
    <w:rsid w:val="003864C9"/>
    <w:rsid w:val="003D0207"/>
    <w:rsid w:val="00416658"/>
    <w:rsid w:val="00434572"/>
    <w:rsid w:val="0043590D"/>
    <w:rsid w:val="004443C0"/>
    <w:rsid w:val="004A2B70"/>
    <w:rsid w:val="004B4459"/>
    <w:rsid w:val="004F1EC9"/>
    <w:rsid w:val="00506452"/>
    <w:rsid w:val="00557DB5"/>
    <w:rsid w:val="005841BD"/>
    <w:rsid w:val="005B1C13"/>
    <w:rsid w:val="005E4BF1"/>
    <w:rsid w:val="006153A1"/>
    <w:rsid w:val="00661983"/>
    <w:rsid w:val="00684023"/>
    <w:rsid w:val="006F29CF"/>
    <w:rsid w:val="006F6A05"/>
    <w:rsid w:val="006F7A4A"/>
    <w:rsid w:val="0074184E"/>
    <w:rsid w:val="007E25D8"/>
    <w:rsid w:val="007E2A54"/>
    <w:rsid w:val="007E51E9"/>
    <w:rsid w:val="007F5BE8"/>
    <w:rsid w:val="008033E8"/>
    <w:rsid w:val="008135FD"/>
    <w:rsid w:val="00830953"/>
    <w:rsid w:val="008634A8"/>
    <w:rsid w:val="0087485E"/>
    <w:rsid w:val="009072DA"/>
    <w:rsid w:val="00960215"/>
    <w:rsid w:val="00963BC5"/>
    <w:rsid w:val="00970F58"/>
    <w:rsid w:val="00981D04"/>
    <w:rsid w:val="009C2052"/>
    <w:rsid w:val="009C6722"/>
    <w:rsid w:val="009E47AF"/>
    <w:rsid w:val="009F6192"/>
    <w:rsid w:val="00A63317"/>
    <w:rsid w:val="00AB49F0"/>
    <w:rsid w:val="00AE19A3"/>
    <w:rsid w:val="00AE3DB2"/>
    <w:rsid w:val="00B4477E"/>
    <w:rsid w:val="00BC319A"/>
    <w:rsid w:val="00C14029"/>
    <w:rsid w:val="00C439B4"/>
    <w:rsid w:val="00C80BA8"/>
    <w:rsid w:val="00C9654E"/>
    <w:rsid w:val="00CA7064"/>
    <w:rsid w:val="00D066B5"/>
    <w:rsid w:val="00D3366E"/>
    <w:rsid w:val="00D4092C"/>
    <w:rsid w:val="00D9039C"/>
    <w:rsid w:val="00DD1DF4"/>
    <w:rsid w:val="00DF2CD7"/>
    <w:rsid w:val="00E04F93"/>
    <w:rsid w:val="00E11D63"/>
    <w:rsid w:val="00E14300"/>
    <w:rsid w:val="00E21943"/>
    <w:rsid w:val="00E86FC1"/>
    <w:rsid w:val="00EC4E65"/>
    <w:rsid w:val="00F06941"/>
    <w:rsid w:val="00F2071A"/>
    <w:rsid w:val="00F3550C"/>
    <w:rsid w:val="00F525A7"/>
    <w:rsid w:val="00F5385D"/>
    <w:rsid w:val="00FF7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532FFF7-2741-4B80-A9E3-2F1ADF24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宋体" w:eastAsia="宋体" w:hAnsi="宋体"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DB2"/>
    <w:pPr>
      <w:spacing w:after="200" w:line="276" w:lineRule="auto"/>
    </w:pPr>
    <w:rPr>
      <w:rFonts w:asciiTheme="minorHAnsi" w:eastAsiaTheme="minorEastAsia" w:hAnsiTheme="minorHAnsi"/>
      <w:kern w:val="0"/>
      <w:sz w:val="22"/>
      <w:lang w:eastAsia="en-US"/>
    </w:rPr>
  </w:style>
  <w:style w:type="paragraph" w:styleId="1">
    <w:name w:val="heading 1"/>
    <w:basedOn w:val="a"/>
    <w:next w:val="a"/>
    <w:link w:val="10"/>
    <w:uiPriority w:val="9"/>
    <w:qFormat/>
    <w:rsid w:val="00AE3DB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AE3DB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AE3DB2"/>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AE3DB2"/>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3DB2"/>
    <w:pPr>
      <w:widowControl w:val="0"/>
      <w:tabs>
        <w:tab w:val="center" w:pos="4153"/>
        <w:tab w:val="right" w:pos="8306"/>
      </w:tabs>
      <w:snapToGrid w:val="0"/>
      <w:spacing w:after="0" w:line="240" w:lineRule="auto"/>
      <w:jc w:val="center"/>
    </w:pPr>
    <w:rPr>
      <w:rFonts w:ascii="宋体" w:eastAsia="宋体" w:hAnsi="宋体"/>
      <w:kern w:val="2"/>
      <w:sz w:val="18"/>
      <w:szCs w:val="18"/>
      <w:lang w:eastAsia="zh-CN"/>
    </w:rPr>
  </w:style>
  <w:style w:type="character" w:customStyle="1" w:styleId="a4">
    <w:name w:val="页眉 字符"/>
    <w:basedOn w:val="a0"/>
    <w:link w:val="a3"/>
    <w:uiPriority w:val="99"/>
    <w:rsid w:val="00AE3DB2"/>
    <w:rPr>
      <w:sz w:val="18"/>
      <w:szCs w:val="18"/>
    </w:rPr>
  </w:style>
  <w:style w:type="paragraph" w:styleId="a5">
    <w:name w:val="footer"/>
    <w:basedOn w:val="a"/>
    <w:link w:val="a6"/>
    <w:uiPriority w:val="99"/>
    <w:unhideWhenUsed/>
    <w:rsid w:val="00AE3DB2"/>
    <w:pPr>
      <w:widowControl w:val="0"/>
      <w:tabs>
        <w:tab w:val="center" w:pos="4153"/>
        <w:tab w:val="right" w:pos="8306"/>
      </w:tabs>
      <w:snapToGrid w:val="0"/>
      <w:spacing w:after="0" w:line="240" w:lineRule="auto"/>
    </w:pPr>
    <w:rPr>
      <w:rFonts w:ascii="宋体" w:eastAsia="宋体" w:hAnsi="宋体"/>
      <w:kern w:val="2"/>
      <w:sz w:val="18"/>
      <w:szCs w:val="18"/>
      <w:lang w:eastAsia="zh-CN"/>
    </w:rPr>
  </w:style>
  <w:style w:type="character" w:customStyle="1" w:styleId="a6">
    <w:name w:val="页脚 字符"/>
    <w:basedOn w:val="a0"/>
    <w:link w:val="a5"/>
    <w:uiPriority w:val="99"/>
    <w:rsid w:val="00AE3DB2"/>
    <w:rPr>
      <w:sz w:val="18"/>
      <w:szCs w:val="18"/>
    </w:rPr>
  </w:style>
  <w:style w:type="character" w:customStyle="1" w:styleId="10">
    <w:name w:val="标题 1 字符"/>
    <w:basedOn w:val="a0"/>
    <w:link w:val="1"/>
    <w:uiPriority w:val="9"/>
    <w:rsid w:val="00AE3DB2"/>
    <w:rPr>
      <w:rFonts w:asciiTheme="majorHAnsi" w:eastAsiaTheme="majorEastAsia" w:hAnsiTheme="majorHAnsi" w:cstheme="majorBidi"/>
      <w:b/>
      <w:bCs/>
      <w:color w:val="2F5496" w:themeColor="accent1" w:themeShade="BF"/>
      <w:kern w:val="0"/>
      <w:sz w:val="28"/>
      <w:szCs w:val="28"/>
      <w:lang w:eastAsia="en-US"/>
    </w:rPr>
  </w:style>
  <w:style w:type="character" w:customStyle="1" w:styleId="20">
    <w:name w:val="标题 2 字符"/>
    <w:basedOn w:val="a0"/>
    <w:link w:val="2"/>
    <w:uiPriority w:val="9"/>
    <w:rsid w:val="00AE3DB2"/>
    <w:rPr>
      <w:rFonts w:asciiTheme="majorHAnsi" w:eastAsiaTheme="majorEastAsia" w:hAnsiTheme="majorHAnsi" w:cstheme="majorBidi"/>
      <w:b/>
      <w:bCs/>
      <w:color w:val="4472C4" w:themeColor="accent1"/>
      <w:kern w:val="0"/>
      <w:sz w:val="26"/>
      <w:szCs w:val="26"/>
      <w:lang w:eastAsia="en-US"/>
    </w:rPr>
  </w:style>
  <w:style w:type="character" w:customStyle="1" w:styleId="30">
    <w:name w:val="标题 3 字符"/>
    <w:basedOn w:val="a0"/>
    <w:link w:val="3"/>
    <w:uiPriority w:val="9"/>
    <w:rsid w:val="00AE3DB2"/>
    <w:rPr>
      <w:rFonts w:asciiTheme="majorHAnsi" w:eastAsiaTheme="majorEastAsia" w:hAnsiTheme="majorHAnsi" w:cstheme="majorBidi"/>
      <w:b/>
      <w:bCs/>
      <w:color w:val="4472C4" w:themeColor="accent1"/>
      <w:kern w:val="0"/>
      <w:sz w:val="22"/>
      <w:lang w:eastAsia="en-US"/>
    </w:rPr>
  </w:style>
  <w:style w:type="character" w:customStyle="1" w:styleId="40">
    <w:name w:val="标题 4 字符"/>
    <w:basedOn w:val="a0"/>
    <w:link w:val="4"/>
    <w:uiPriority w:val="9"/>
    <w:semiHidden/>
    <w:rsid w:val="00AE3DB2"/>
    <w:rPr>
      <w:rFonts w:asciiTheme="majorHAnsi" w:eastAsiaTheme="majorEastAsia" w:hAnsiTheme="majorHAnsi" w:cstheme="majorBidi"/>
      <w:b/>
      <w:bCs/>
      <w:i/>
      <w:iCs/>
      <w:color w:val="4472C4" w:themeColor="accent1"/>
      <w:kern w:val="0"/>
      <w:sz w:val="22"/>
      <w:lang w:eastAsia="en-US"/>
    </w:rPr>
  </w:style>
  <w:style w:type="table" w:styleId="a7">
    <w:name w:val="Table Grid"/>
    <w:basedOn w:val="a1"/>
    <w:uiPriority w:val="59"/>
    <w:rsid w:val="00AE3DB2"/>
    <w:rPr>
      <w:rFonts w:asciiTheme="minorHAnsi" w:eastAsiaTheme="minorEastAsia" w:hAnsiTheme="minorHAnsi"/>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yyp yin</dc:creator>
  <cp:keywords/>
  <dc:description/>
  <cp:lastModifiedBy>yyp yin</cp:lastModifiedBy>
  <cp:revision>2</cp:revision>
  <dcterms:created xsi:type="dcterms:W3CDTF">2024-07-08T02:27:00Z</dcterms:created>
  <dcterms:modified xsi:type="dcterms:W3CDTF">2024-07-08T02:27:00Z</dcterms:modified>
</cp:coreProperties>
</file>