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A6672" w14:textId="77777777" w:rsidR="00C70B2E" w:rsidRDefault="00C70B2E" w:rsidP="00C70B2E">
      <w:pPr>
        <w:pStyle w:val="1"/>
        <w:spacing w:after="20" w:line="572" w:lineRule="atLeast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1A415024土石方开挖施工</w:t>
      </w:r>
    </w:p>
    <w:p w14:paraId="6A292D81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土石方施工前应考虑土方量、土方运距、土方施工顺序、地质条件等因素，进行土方平衡和调配，确定土方施工方案。</w:t>
      </w:r>
    </w:p>
    <w:p w14:paraId="48C3A513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一、土方开挖</w:t>
      </w:r>
    </w:p>
    <w:p w14:paraId="14A0A35F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土方开挖的顺序、方法必须与设计要求相一致，并遵循“开槽支撑，先撑后挖，分层开挖，严禁超挖”的原则。严禁在基坑（槽）及建（构）筑物周边影响范围内堆放土方。基坑边界周围地面应设排水沟，对坡顶、坡面、坡脚采取降排水措施。</w:t>
      </w:r>
    </w:p>
    <w:p w14:paraId="71A82257" w14:textId="77777777" w:rsidR="00C70B2E" w:rsidRDefault="00C70B2E" w:rsidP="00C70B2E">
      <w:pPr>
        <w:pStyle w:val="3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(一)浅基坑的开挖</w:t>
      </w:r>
    </w:p>
    <w:p w14:paraId="5A3A5199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(1)浅基坑开挖，应先进行测量放线，根据开挖方案，按分块（段）分层挖土，保证施工操作安全。</w:t>
      </w:r>
    </w:p>
    <w:p w14:paraId="0A594D4D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挖土时，土壁要求平直，挖好一层，支一层支撑。开挖宽度较大的基坑，当在局部地段无法放坡，应在下部坡脚采取短桩与横隔板支撑或砌砖、毛石或用编织袋、草袋装土堆砌临时矮挡土墙等加固措施，保护坡脚。</w:t>
      </w:r>
    </w:p>
    <w:p w14:paraId="1EF739F9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(3)相邻基坑开挖时，应遵循先深后浅或同时进行的施工程序。挖土应自上而下、水平分段分层进行，边挖边检查坑底宽度及坡度，不够时及时修整，至设计标高，再统一进行一次修坡清底，检查坑底宽度和标高。</w:t>
      </w:r>
    </w:p>
    <w:p w14:paraId="0D77C560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(4)基坑开挖应尽量防止对地基土的扰动。当用人工挖土，基坑挖好后不能立即进行下道工序时，应预留</w:t>
      </w:r>
      <m:oMath>
        <m:r>
          <w:rPr>
            <w:rFonts w:ascii="Cambria Math" w:hAnsi="Cambria Math"/>
            <w:color w:val="000000"/>
            <w:lang w:eastAsia="zh-CN"/>
          </w:rPr>
          <m:t>150~300mm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一层土不挖，待下道工序开始再挖至设计标高。采用机械开挖基坑时，为避免破坏基底土，应在基底标高以上预留</w:t>
      </w:r>
      <m:oMath>
        <m:r>
          <w:rPr>
            <w:rFonts w:ascii="Cambria Math" w:hAnsi="Cambria Math"/>
            <w:color w:val="000000"/>
            <w:lang w:eastAsia="zh-CN"/>
          </w:rPr>
          <m:t>200~300mm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厚土层人工挖除。</w:t>
      </w:r>
    </w:p>
    <w:p w14:paraId="46DBA507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(5)在地下水位以下挖土，应在基坑四周挖好临时排水沟和集水井，或采用井点降水，将水位降低至坑底以下500mm以上，以利挖方进行。降水工作应持续到基础（包括地下水位下回填土)施工完成。</w:t>
      </w:r>
    </w:p>
    <w:p w14:paraId="7356DD60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(6)雨期施工时，基坑应分段开挖，挖好一段浇筑一段垫层，并应在坑顶、坑底采取有效的截排水措施；同时，应经常检查边坡和支撑情况，以防止坑壁受水浸泡，造成塌方。</w:t>
      </w:r>
    </w:p>
    <w:p w14:paraId="667791ED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(7)基坑开挖时，应对平面控制桩、水准点、平面位置、水平标高、边坡坡度、排水、降水系统等经常复测检查。</w:t>
      </w:r>
    </w:p>
    <w:p w14:paraId="14261A3A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(8)基坑挖完后应进行验槽，做好记录；如发现地基土质与地质勘察报告、设计要求不符时，应与有关人员研究及时处理。</w:t>
      </w:r>
    </w:p>
    <w:p w14:paraId="14C8D07B" w14:textId="77777777" w:rsidR="00C70B2E" w:rsidRDefault="00C70B2E" w:rsidP="00C70B2E">
      <w:pPr>
        <w:pStyle w:val="3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(二)深基坑的土方开挖</w:t>
      </w:r>
    </w:p>
    <w:p w14:paraId="76F2B501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在深基坑土方开挖前，要制定土方工程专项方案并通过专家论证，要对支护结构、地下水位及周围环境进行必要的监测和保护。</w:t>
      </w:r>
    </w:p>
    <w:p w14:paraId="5816DBA7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(1)深基坑工程的挖土方案，主要有放坡挖土、中心岛式（也称墩式）挖土、盆式挖土和逆作法挖土。前者无支护结构，后三种皆有支护结构。</w:t>
      </w:r>
    </w:p>
    <w:p w14:paraId="7FF56BE8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(2)分层厚度宜控制在3m以内。</w:t>
      </w:r>
    </w:p>
    <w:p w14:paraId="0539A61C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(3)多级放坡开挖时，坡间平台宽度不小于3m。</w:t>
      </w:r>
    </w:p>
    <w:p w14:paraId="0FA63958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(4)边坡防护可采用水泥砂浆、挂网砂浆、混凝土、钢筋混凝土等方法。</w:t>
      </w:r>
    </w:p>
    <w:p w14:paraId="76F2AF25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(5)防止桩位移和倾斜。打桩完毕后基坑开挖，应制定合理的施工顺序和技术措施，防止桩的位移和倾斜。</w:t>
      </w:r>
    </w:p>
    <w:p w14:paraId="573617E6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(6)采用土钉墙支护的基坑开挖应分层分段进行，每层分段长度不宜大于</w:t>
      </w:r>
      <m:oMath>
        <m:r>
          <w:rPr>
            <w:rFonts w:ascii="Cambria Math" w:hAnsi="Cambria Math"/>
            <w:color w:val="000000"/>
            <w:lang w:eastAsia="zh-CN"/>
          </w:rPr>
          <m:t>30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lang w:eastAsia="zh-CN"/>
              </w:rPr>
              <m:t>m</m:t>
            </m:r>
          </m:e>
          <m:sub>
            <m:r>
              <w:rPr>
                <w:rFonts w:ascii="Cambria Math" w:hAnsi="Cambria Math"/>
                <w:lang w:eastAsia="zh-CN"/>
              </w:rPr>
              <m:t>o</m:t>
            </m:r>
          </m:sub>
        </m:sSub>
      </m:oMath>
    </w:p>
    <w:p w14:paraId="513FBD54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(7)采用逆作法的基坑开挖面积较大时，宜采用盆式开挖，先形成中部结构，再分块、对称、限时开挖周边土方和施工主体结构。</w:t>
      </w:r>
    </w:p>
    <w:p w14:paraId="154F1323" w14:textId="77777777" w:rsidR="00C70B2E" w:rsidRDefault="00C70B2E" w:rsidP="00C70B2E">
      <w:pPr>
        <w:pStyle w:val="2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二、岩石基坑开挖</w:t>
      </w:r>
    </w:p>
    <w:p w14:paraId="159DF478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(1)岩石基坑可根据工程地质与水文地质条件、周边环境保护要求、支护形式等情况，选择合理的开挖顺序和开挖方式。</w:t>
      </w:r>
    </w:p>
    <w:p w14:paraId="67B84F65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(2)岩石基坑应采取分层分段的开挖方法，遇不良地质、不稳定或欠稳定的基坑，应采取分层分段间隔开挖的方法，并限时完成支护。</w:t>
      </w:r>
    </w:p>
    <w:p w14:paraId="24CAD18D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(3)岩石的开挖宜采用爆破法，强风化的硬质岩石和中风化的软质岩石，在现场试验满足的条件下，也可采用机械开挖方式。</w:t>
      </w:r>
    </w:p>
    <w:p w14:paraId="13D5CB5E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(4)爆破开挖宜先在基坑中间开槽爆破，再向基坑周边进行台阶式爆破开挖。接近支护结构或坡脚附近的爆破开挖，应采取减小对基坑边坡岩体和支护结构影响的措施。爆破后的岩石坡面或基底，应采用机械修整。</w:t>
      </w:r>
    </w:p>
    <w:p w14:paraId="0BE79105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(5)周边环境保护要求较高的基坑，基坑爆破开挖应采取静力爆破等控制振动、冲击波、飞石的爆破方式。</w:t>
      </w:r>
    </w:p>
    <w:p w14:paraId="4DB32550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(6)爆破施工应符合《爆破安全规程》GB6722的规定。</w:t>
      </w:r>
    </w:p>
    <w:p w14:paraId="6CAB4640" w14:textId="77777777" w:rsidR="00C70B2E" w:rsidRDefault="00C70B2E" w:rsidP="00C70B2E">
      <w:pPr>
        <w:pStyle w:val="2"/>
        <w:spacing w:after="20" w:line="572" w:lineRule="atLeast"/>
        <w:ind w:firstLine="640"/>
      </w:pPr>
      <w:proofErr w:type="spellStart"/>
      <w:r>
        <w:rPr>
          <w:rFonts w:ascii="黑体" w:eastAsia="黑体" w:hAnsi="黑体"/>
          <w:b w:val="0"/>
          <w:color w:val="000000"/>
          <w:sz w:val="34"/>
        </w:rPr>
        <w:t>三、土方回填</w:t>
      </w:r>
      <w:proofErr w:type="spellEnd"/>
    </w:p>
    <w:p w14:paraId="01B2FD70" w14:textId="77777777" w:rsidR="00C70B2E" w:rsidRDefault="00C70B2E" w:rsidP="00C70B2E">
      <w:pPr>
        <w:pStyle w:val="3"/>
        <w:spacing w:after="20" w:line="572" w:lineRule="atLeast"/>
        <w:ind w:firstLine="640"/>
      </w:pPr>
      <w:r>
        <w:rPr>
          <w:rFonts w:ascii="黑体" w:eastAsia="黑体" w:hAnsi="黑体"/>
          <w:b w:val="0"/>
          <w:color w:val="000000"/>
          <w:sz w:val="34"/>
        </w:rPr>
        <w:t>(一)</w:t>
      </w:r>
      <w:proofErr w:type="spellStart"/>
      <w:r>
        <w:rPr>
          <w:rFonts w:ascii="黑体" w:eastAsia="黑体" w:hAnsi="黑体"/>
          <w:b w:val="0"/>
          <w:color w:val="000000"/>
          <w:sz w:val="34"/>
        </w:rPr>
        <w:t>土料要求</w:t>
      </w:r>
      <w:proofErr w:type="spellEnd"/>
    </w:p>
    <w:p w14:paraId="4AB172A6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填方土料应符合设计要求，保证填方的强度和稳定性。一般不能选用淤泥、淤泥质土、有机质大于5%的土、含水量不符合压实要求的黏性土。填方土应尽量采用同类土。</w:t>
      </w:r>
    </w:p>
    <w:p w14:paraId="148836A8" w14:textId="77777777" w:rsidR="00C70B2E" w:rsidRDefault="00C70B2E" w:rsidP="00C70B2E">
      <w:pPr>
        <w:pStyle w:val="3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(二)基底处理</w:t>
      </w:r>
    </w:p>
    <w:p w14:paraId="48A5882C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(1)清除基底上的垃圾、草皮、树根、杂物，排除坑穴中积水、淤泥和种植土，将基底充分夯实和碾压密实。</w:t>
      </w:r>
    </w:p>
    <w:p w14:paraId="1165E238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(2)应采取措施防止地表滞水流入填方区，浸泡地基，造成基土下陷。</w:t>
      </w:r>
    </w:p>
    <w:p w14:paraId="0CA436D8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(3)当填土场地地面陡于1/5时，应先将斜坡挖成阶梯形，阶高0.2~0.3m,阶宽大于1m,然后分层填土，以利接合和防止滑动。</w:t>
      </w:r>
    </w:p>
    <w:p w14:paraId="12D8AE4D" w14:textId="77777777" w:rsidR="00C70B2E" w:rsidRDefault="00C70B2E" w:rsidP="00C70B2E">
      <w:pPr>
        <w:pStyle w:val="3"/>
        <w:spacing w:after="20" w:line="572" w:lineRule="atLeast"/>
        <w:ind w:firstLine="640"/>
        <w:rPr>
          <w:lang w:eastAsia="zh-CN"/>
        </w:rPr>
      </w:pPr>
      <w:r>
        <w:rPr>
          <w:rFonts w:ascii="黑体" w:eastAsia="黑体" w:hAnsi="黑体"/>
          <w:b w:val="0"/>
          <w:color w:val="000000"/>
          <w:sz w:val="34"/>
          <w:lang w:eastAsia="zh-CN"/>
        </w:rPr>
        <w:t>(三)土方填筑与压实</w:t>
      </w:r>
    </w:p>
    <w:p w14:paraId="1DA36B6F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(1)填方的边坡坡度应根据填方高度、土的种类和其重要性确定。对使用时间较长的临时性填方边坡坡度，当填方高度小于10m时，可采用</w:t>
      </w:r>
      <m:oMath>
        <m:r>
          <w:rPr>
            <w:rFonts w:ascii="Cambria Math" w:hAnsi="Cambria Math"/>
            <w:color w:val="000000"/>
            <w:lang w:eastAsia="zh-CN"/>
          </w:rPr>
          <m:t>1:1.5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；超过10m,可做成折线形，上部采用</w:t>
      </w:r>
      <m:oMath>
        <m:r>
          <w:rPr>
            <w:rFonts w:ascii="Cambria Math" w:hAnsi="Cambria Math"/>
            <w:color w:val="000000"/>
            <w:lang w:eastAsia="zh-CN"/>
          </w:rPr>
          <m:t>1:1.5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，下部采用</w:t>
      </w:r>
      <m:oMath>
        <m:r>
          <w:rPr>
            <w:rFonts w:ascii="Cambria Math" w:hAnsi="Cambria Math"/>
            <w:color w:val="000000"/>
            <w:lang w:eastAsia="zh-CN"/>
          </w:rPr>
          <m:t>1:1.75</m:t>
        </m:r>
      </m:oMath>
      <w:r>
        <w:rPr>
          <w:rFonts w:ascii="仿宋_GB2312" w:eastAsia="仿宋_GB2312" w:hAnsi="仿宋_GB2312"/>
          <w:color w:val="000000"/>
          <w:sz w:val="32"/>
          <w:lang w:eastAsia="zh-CN"/>
        </w:rPr>
        <w:t>。</w:t>
      </w:r>
    </w:p>
    <w:p w14:paraId="215D424A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(2)填土应从场地最低处开始，由下而上整个宽度分层铺填。每层虚铺厚度应根据夯实机械确定，一般情况下每层虚铺厚度见表1A415024。</w:t>
      </w:r>
    </w:p>
    <w:p w14:paraId="11C4D6DE" w14:textId="77777777" w:rsidR="00C70B2E" w:rsidRDefault="00C70B2E" w:rsidP="00C70B2E">
      <w:pPr>
        <w:spacing w:after="20" w:line="572" w:lineRule="atLeast"/>
        <w:jc w:val="both"/>
        <w:rPr>
          <w:lang w:eastAsia="zh-CN"/>
        </w:rPr>
      </w:pPr>
      <w:r>
        <w:rPr>
          <w:rFonts w:ascii="黑体" w:eastAsia="黑体" w:hAnsi="黑体"/>
          <w:color w:val="000000"/>
          <w:sz w:val="32"/>
          <w:lang w:eastAsia="zh-CN"/>
        </w:rPr>
        <w:t>填土施工分层厚度及压实遍数</w:t>
      </w:r>
      <w:r>
        <w:rPr>
          <w:rFonts w:ascii="黑体" w:eastAsia="黑体" w:hAnsi="黑体"/>
          <w:color w:val="000000"/>
          <w:sz w:val="32"/>
          <w:lang w:eastAsia="zh-CN"/>
        </w:rPr>
        <w:tab/>
        <w:t>表1A415024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50"/>
        <w:gridCol w:w="2776"/>
        <w:gridCol w:w="2770"/>
      </w:tblGrid>
      <w:tr w:rsidR="00C70B2E" w14:paraId="0BA96DF4" w14:textId="77777777" w:rsidTr="001477EE">
        <w:trPr>
          <w:trHeight w:val="400"/>
        </w:trPr>
        <w:tc>
          <w:tcPr>
            <w:tcW w:w="2880" w:type="dxa"/>
            <w:vAlign w:val="center"/>
          </w:tcPr>
          <w:p w14:paraId="4773CF26" w14:textId="77777777" w:rsidR="00C70B2E" w:rsidRDefault="00C70B2E" w:rsidP="001477EE">
            <w:proofErr w:type="spellStart"/>
            <w:r>
              <w:rPr>
                <w:rFonts w:ascii="Times New Roman" w:eastAsia="仿宋_GB2312" w:hAnsi="Times New Roman"/>
                <w:sz w:val="20"/>
              </w:rPr>
              <w:t>压实机具</w:t>
            </w:r>
            <w:proofErr w:type="spellEnd"/>
          </w:p>
        </w:tc>
        <w:tc>
          <w:tcPr>
            <w:tcW w:w="2880" w:type="dxa"/>
            <w:vAlign w:val="center"/>
          </w:tcPr>
          <w:p w14:paraId="40DED01A" w14:textId="77777777" w:rsidR="00C70B2E" w:rsidRDefault="00C70B2E" w:rsidP="001477EE">
            <w:proofErr w:type="spellStart"/>
            <w:r>
              <w:rPr>
                <w:rFonts w:ascii="Times New Roman" w:eastAsia="仿宋_GB2312" w:hAnsi="Times New Roman"/>
                <w:sz w:val="20"/>
              </w:rPr>
              <w:t>分层厚度（</w:t>
            </w:r>
            <w:r>
              <w:rPr>
                <w:rFonts w:ascii="Times New Roman" w:eastAsia="仿宋_GB2312" w:hAnsi="Times New Roman"/>
                <w:sz w:val="20"/>
              </w:rPr>
              <w:t>mm</w:t>
            </w:r>
            <w:proofErr w:type="spellEnd"/>
            <w:r>
              <w:rPr>
                <w:rFonts w:ascii="Times New Roman" w:eastAsia="仿宋_GB2312" w:hAnsi="Times New Roman"/>
                <w:sz w:val="20"/>
              </w:rPr>
              <w:t>）</w:t>
            </w:r>
          </w:p>
        </w:tc>
        <w:tc>
          <w:tcPr>
            <w:tcW w:w="2880" w:type="dxa"/>
            <w:vAlign w:val="center"/>
          </w:tcPr>
          <w:p w14:paraId="3EE2537B" w14:textId="77777777" w:rsidR="00C70B2E" w:rsidRDefault="00C70B2E" w:rsidP="001477EE">
            <w:proofErr w:type="spellStart"/>
            <w:r>
              <w:rPr>
                <w:rFonts w:ascii="Times New Roman" w:eastAsia="仿宋_GB2312" w:hAnsi="Times New Roman"/>
                <w:sz w:val="20"/>
              </w:rPr>
              <w:t>每层压实遍数（次</w:t>
            </w:r>
            <w:proofErr w:type="spellEnd"/>
            <w:r>
              <w:rPr>
                <w:rFonts w:ascii="Times New Roman" w:eastAsia="仿宋_GB2312" w:hAnsi="Times New Roman"/>
                <w:sz w:val="20"/>
              </w:rPr>
              <w:t>）</w:t>
            </w:r>
          </w:p>
        </w:tc>
      </w:tr>
      <w:tr w:rsidR="00C70B2E" w14:paraId="0A159A5A" w14:textId="77777777" w:rsidTr="001477EE">
        <w:trPr>
          <w:trHeight w:val="380"/>
        </w:trPr>
        <w:tc>
          <w:tcPr>
            <w:tcW w:w="2880" w:type="dxa"/>
            <w:vAlign w:val="center"/>
          </w:tcPr>
          <w:p w14:paraId="7DEBDC10" w14:textId="77777777" w:rsidR="00C70B2E" w:rsidRDefault="00C70B2E" w:rsidP="001477EE">
            <w:proofErr w:type="spellStart"/>
            <w:r>
              <w:rPr>
                <w:rFonts w:ascii="Times New Roman" w:eastAsia="仿宋_GB2312" w:hAnsi="Times New Roman"/>
                <w:sz w:val="20"/>
              </w:rPr>
              <w:t>平碾</w:t>
            </w:r>
            <w:proofErr w:type="spellEnd"/>
          </w:p>
        </w:tc>
        <w:tc>
          <w:tcPr>
            <w:tcW w:w="2880" w:type="dxa"/>
            <w:vAlign w:val="center"/>
          </w:tcPr>
          <w:p w14:paraId="5C665B61" w14:textId="77777777" w:rsidR="00C70B2E" w:rsidRDefault="00C70B2E" w:rsidP="001477EE">
            <w:r>
              <w:rPr>
                <w:rFonts w:ascii="Times New Roman" w:eastAsia="仿宋_GB2312" w:hAnsi="Times New Roman"/>
                <w:sz w:val="20"/>
              </w:rPr>
              <w:t>250~300</w:t>
            </w:r>
          </w:p>
        </w:tc>
        <w:tc>
          <w:tcPr>
            <w:tcW w:w="2880" w:type="dxa"/>
            <w:vAlign w:val="center"/>
          </w:tcPr>
          <w:p w14:paraId="5DCC84F5" w14:textId="77777777" w:rsidR="00C70B2E" w:rsidRDefault="00C70B2E" w:rsidP="001477EE">
            <w:r>
              <w:rPr>
                <w:rFonts w:ascii="Times New Roman" w:eastAsia="仿宋_GB2312" w:hAnsi="Times New Roman"/>
                <w:sz w:val="20"/>
              </w:rPr>
              <w:t>6~8</w:t>
            </w:r>
          </w:p>
        </w:tc>
      </w:tr>
      <w:tr w:rsidR="00C70B2E" w14:paraId="39AA1DF2" w14:textId="77777777" w:rsidTr="001477EE">
        <w:trPr>
          <w:trHeight w:val="380"/>
        </w:trPr>
        <w:tc>
          <w:tcPr>
            <w:tcW w:w="2880" w:type="dxa"/>
            <w:vAlign w:val="center"/>
          </w:tcPr>
          <w:p w14:paraId="79CF1F05" w14:textId="77777777" w:rsidR="00C70B2E" w:rsidRDefault="00C70B2E" w:rsidP="001477EE">
            <w:proofErr w:type="spellStart"/>
            <w:r>
              <w:rPr>
                <w:rFonts w:ascii="Times New Roman" w:eastAsia="仿宋_GB2312" w:hAnsi="Times New Roman"/>
                <w:sz w:val="20"/>
              </w:rPr>
              <w:t>振动压实机</w:t>
            </w:r>
            <w:proofErr w:type="spellEnd"/>
          </w:p>
        </w:tc>
        <w:tc>
          <w:tcPr>
            <w:tcW w:w="2880" w:type="dxa"/>
            <w:vAlign w:val="center"/>
          </w:tcPr>
          <w:p w14:paraId="19E60917" w14:textId="77777777" w:rsidR="00C70B2E" w:rsidRDefault="00C70B2E" w:rsidP="001477EE">
            <w:r>
              <w:rPr>
                <w:rFonts w:ascii="Times New Roman" w:eastAsia="仿宋_GB2312" w:hAnsi="Times New Roman"/>
                <w:sz w:val="20"/>
              </w:rPr>
              <w:t>250~350</w:t>
            </w:r>
          </w:p>
        </w:tc>
        <w:tc>
          <w:tcPr>
            <w:tcW w:w="2880" w:type="dxa"/>
            <w:vAlign w:val="center"/>
          </w:tcPr>
          <w:p w14:paraId="28F77E04" w14:textId="77777777" w:rsidR="00C70B2E" w:rsidRDefault="00C70B2E" w:rsidP="001477EE">
            <w:r>
              <w:rPr>
                <w:rFonts w:ascii="Times New Roman" w:eastAsia="仿宋_GB2312" w:hAnsi="Times New Roman"/>
                <w:sz w:val="20"/>
              </w:rPr>
              <w:t>3~4</w:t>
            </w:r>
          </w:p>
        </w:tc>
      </w:tr>
      <w:tr w:rsidR="00C70B2E" w14:paraId="14E7303F" w14:textId="77777777" w:rsidTr="001477EE">
        <w:trPr>
          <w:trHeight w:val="380"/>
        </w:trPr>
        <w:tc>
          <w:tcPr>
            <w:tcW w:w="2880" w:type="dxa"/>
            <w:vAlign w:val="center"/>
          </w:tcPr>
          <w:p w14:paraId="4E4B931F" w14:textId="77777777" w:rsidR="00C70B2E" w:rsidRDefault="00C70B2E" w:rsidP="001477EE">
            <w:proofErr w:type="spellStart"/>
            <w:r>
              <w:rPr>
                <w:rFonts w:ascii="Times New Roman" w:eastAsia="仿宋_GB2312" w:hAnsi="Times New Roman"/>
                <w:sz w:val="20"/>
              </w:rPr>
              <w:t>柴油打夯机</w:t>
            </w:r>
            <w:proofErr w:type="spellEnd"/>
          </w:p>
        </w:tc>
        <w:tc>
          <w:tcPr>
            <w:tcW w:w="2880" w:type="dxa"/>
            <w:vAlign w:val="center"/>
          </w:tcPr>
          <w:p w14:paraId="4457EDAB" w14:textId="77777777" w:rsidR="00C70B2E" w:rsidRDefault="00C70B2E" w:rsidP="001477EE">
            <w:r>
              <w:rPr>
                <w:rFonts w:ascii="Times New Roman" w:eastAsia="仿宋_GB2312" w:hAnsi="Times New Roman"/>
                <w:sz w:val="20"/>
              </w:rPr>
              <w:t>200~250</w:t>
            </w:r>
          </w:p>
        </w:tc>
        <w:tc>
          <w:tcPr>
            <w:tcW w:w="2880" w:type="dxa"/>
            <w:vAlign w:val="center"/>
          </w:tcPr>
          <w:p w14:paraId="7C45980D" w14:textId="77777777" w:rsidR="00C70B2E" w:rsidRDefault="00C70B2E" w:rsidP="001477EE">
            <w:r>
              <w:rPr>
                <w:rFonts w:ascii="Times New Roman" w:eastAsia="仿宋_GB2312" w:hAnsi="Times New Roman"/>
                <w:sz w:val="20"/>
              </w:rPr>
              <w:t>3~4</w:t>
            </w:r>
          </w:p>
        </w:tc>
      </w:tr>
      <w:tr w:rsidR="00C70B2E" w14:paraId="1CA810CB" w14:textId="77777777" w:rsidTr="001477EE">
        <w:trPr>
          <w:trHeight w:val="360"/>
        </w:trPr>
        <w:tc>
          <w:tcPr>
            <w:tcW w:w="2880" w:type="dxa"/>
            <w:vAlign w:val="center"/>
          </w:tcPr>
          <w:p w14:paraId="0432AEBE" w14:textId="77777777" w:rsidR="00C70B2E" w:rsidRDefault="00C70B2E" w:rsidP="001477EE">
            <w:proofErr w:type="spellStart"/>
            <w:r>
              <w:rPr>
                <w:rFonts w:ascii="Times New Roman" w:eastAsia="仿宋_GB2312" w:hAnsi="Times New Roman"/>
                <w:sz w:val="20"/>
              </w:rPr>
              <w:t>人工打夯</w:t>
            </w:r>
            <w:proofErr w:type="spellEnd"/>
          </w:p>
        </w:tc>
        <w:tc>
          <w:tcPr>
            <w:tcW w:w="2880" w:type="dxa"/>
            <w:vAlign w:val="center"/>
          </w:tcPr>
          <w:p w14:paraId="276657F0" w14:textId="77777777" w:rsidR="00C70B2E" w:rsidRDefault="00C70B2E" w:rsidP="001477EE">
            <w:r>
              <w:rPr>
                <w:rFonts w:ascii="Times New Roman" w:eastAsia="仿宋_GB2312" w:hAnsi="Times New Roman"/>
                <w:sz w:val="20"/>
              </w:rPr>
              <w:t>&lt;200</w:t>
            </w:r>
          </w:p>
        </w:tc>
        <w:tc>
          <w:tcPr>
            <w:tcW w:w="2880" w:type="dxa"/>
            <w:vAlign w:val="center"/>
          </w:tcPr>
          <w:p w14:paraId="1C484C69" w14:textId="77777777" w:rsidR="00C70B2E" w:rsidRDefault="00C70B2E" w:rsidP="001477EE">
            <w:r>
              <w:rPr>
                <w:rFonts w:ascii="Times New Roman" w:eastAsia="仿宋_GB2312" w:hAnsi="Times New Roman"/>
                <w:sz w:val="20"/>
              </w:rPr>
              <w:t>3~4</w:t>
            </w:r>
          </w:p>
        </w:tc>
      </w:tr>
    </w:tbl>
    <w:p w14:paraId="7698FB82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(3)填方应在相对两侧或周围同时进行回填和夯实。</w:t>
      </w:r>
    </w:p>
    <w:p w14:paraId="65F59A2B" w14:textId="77777777" w:rsidR="00C70B2E" w:rsidRDefault="00C70B2E" w:rsidP="00C70B2E">
      <w:pPr>
        <w:spacing w:after="20" w:line="572" w:lineRule="atLeast"/>
        <w:ind w:firstLine="640"/>
        <w:jc w:val="both"/>
        <w:rPr>
          <w:lang w:eastAsia="zh-CN"/>
        </w:rPr>
      </w:pPr>
      <w:r>
        <w:rPr>
          <w:rFonts w:ascii="仿宋_GB2312" w:eastAsia="仿宋_GB2312" w:hAnsi="仿宋_GB2312"/>
          <w:color w:val="000000"/>
          <w:sz w:val="32"/>
          <w:lang w:eastAsia="zh-CN"/>
        </w:rPr>
        <w:t>(4)填土应尽量采用同类土填筑，填方的密实度要求和质量指标通常以压实系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zh-CN"/>
              </w:rPr>
              <m:t>λ</m:t>
            </m:r>
          </m:e>
          <m:sub>
            <m:r>
              <w:rPr>
                <w:rFonts w:ascii="Cambria Math" w:hAnsi="Cambria Math"/>
                <w:lang w:eastAsia="zh-CN"/>
              </w:rPr>
              <m:t>c</m:t>
            </m:r>
          </m:sub>
        </m:sSub>
      </m:oMath>
      <w:r>
        <w:rPr>
          <w:rFonts w:ascii="仿宋_GB2312" w:eastAsia="仿宋_GB2312" w:hAnsi="仿宋_GB2312"/>
          <w:color w:val="000000"/>
          <w:sz w:val="32"/>
          <w:lang w:eastAsia="zh-CN"/>
        </w:rPr>
        <w:t>表示。压实系数为土的控制（实际）干土密度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zh-CN"/>
              </w:rPr>
              <m:t>ρ</m:t>
            </m:r>
          </m:e>
          <m:sub>
            <m:r>
              <w:rPr>
                <w:rFonts w:ascii="Cambria Math" w:hAnsi="Cambria Math"/>
                <w:lang w:eastAsia="zh-CN"/>
              </w:rPr>
              <m:t>d</m:t>
            </m:r>
          </m:sub>
        </m:sSub>
      </m:oMath>
      <w:r>
        <w:rPr>
          <w:rFonts w:ascii="仿宋_GB2312" w:eastAsia="仿宋_GB2312" w:hAnsi="仿宋_GB2312"/>
          <w:color w:val="000000"/>
          <w:sz w:val="32"/>
          <w:lang w:eastAsia="zh-CN"/>
        </w:rPr>
        <w:t>与最大干土密度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zh-CN"/>
              </w:rPr>
              <m:t>ρ</m:t>
            </m:r>
          </m:e>
          <m:sub>
            <m:r>
              <w:rPr>
                <w:rFonts w:ascii="Cambria Math" w:hAnsi="Cambria Math"/>
                <w:lang w:eastAsia="zh-CN"/>
              </w:rPr>
              <m:t>dmax</m:t>
            </m:r>
          </m:sub>
        </m:sSub>
      </m:oMath>
      <w:r>
        <w:rPr>
          <w:rFonts w:ascii="仿宋_GB2312" w:eastAsia="仿宋_GB2312" w:hAnsi="仿宋_GB2312"/>
          <w:color w:val="000000"/>
          <w:sz w:val="32"/>
          <w:lang w:eastAsia="zh-CN"/>
        </w:rPr>
        <w:t>的比值。最大干土密度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zh-CN"/>
              </w:rPr>
              <m:t>ρ</m:t>
            </m:r>
          </m:e>
          <m:sub>
            <m:r>
              <w:rPr>
                <w:rFonts w:ascii="Cambria Math" w:hAnsi="Cambria Math"/>
                <w:lang w:eastAsia="zh-CN"/>
              </w:rPr>
              <m:t>dmax</m:t>
            </m:r>
          </m:sub>
        </m:sSub>
      </m:oMath>
      <w:r>
        <w:rPr>
          <w:rFonts w:ascii="仿宋_GB2312" w:eastAsia="仿宋_GB2312" w:hAnsi="仿宋_GB2312"/>
          <w:color w:val="000000"/>
          <w:sz w:val="32"/>
          <w:lang w:eastAsia="zh-CN"/>
        </w:rPr>
        <w:t>是</w:t>
      </w:r>
      <w:r>
        <w:rPr>
          <w:rFonts w:ascii="仿宋_GB2312" w:eastAsia="仿宋_GB2312" w:hAnsi="仿宋_GB2312"/>
          <w:color w:val="000000"/>
          <w:sz w:val="32"/>
          <w:lang w:eastAsia="zh-CN"/>
        </w:rPr>
        <w:lastRenderedPageBreak/>
        <w:t>当最优含水量时，通过标准的击实方法确定的。填土应控制土的压实系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  <w:color w:val="000000"/>
                <w:lang w:eastAsia="zh-CN"/>
              </w:rPr>
              <m:t>λ</m:t>
            </m:r>
          </m:e>
          <m:sub>
            <m:r>
              <w:rPr>
                <w:rFonts w:ascii="Cambria Math" w:hAnsi="Cambria Math"/>
                <w:lang w:eastAsia="zh-CN"/>
              </w:rPr>
              <m:t>c</m:t>
            </m:r>
          </m:sub>
        </m:sSub>
      </m:oMath>
      <w:r>
        <w:rPr>
          <w:rFonts w:ascii="仿宋_GB2312" w:eastAsia="仿宋_GB2312" w:hAnsi="仿宋_GB2312"/>
          <w:color w:val="000000"/>
          <w:sz w:val="32"/>
          <w:lang w:eastAsia="zh-CN"/>
        </w:rPr>
        <w:t>满足设计要求。</w:t>
      </w:r>
    </w:p>
    <w:p w14:paraId="071CE632" w14:textId="77777777" w:rsidR="00267FC0" w:rsidRDefault="00267FC0"/>
    <w:sectPr w:rsidR="00267F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537AA" w14:textId="77777777" w:rsidR="00EB5133" w:rsidRDefault="00EB5133" w:rsidP="00C70B2E">
      <w:pPr>
        <w:spacing w:after="0" w:line="240" w:lineRule="auto"/>
      </w:pPr>
      <w:r>
        <w:separator/>
      </w:r>
    </w:p>
  </w:endnote>
  <w:endnote w:type="continuationSeparator" w:id="0">
    <w:p w14:paraId="0FBAF61B" w14:textId="77777777" w:rsidR="00EB5133" w:rsidRDefault="00EB5133" w:rsidP="00C7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54CBD6" w14:textId="77777777" w:rsidR="00EB5133" w:rsidRDefault="00EB5133" w:rsidP="00C70B2E">
      <w:pPr>
        <w:spacing w:after="0" w:line="240" w:lineRule="auto"/>
      </w:pPr>
      <w:r>
        <w:separator/>
      </w:r>
    </w:p>
  </w:footnote>
  <w:footnote w:type="continuationSeparator" w:id="0">
    <w:p w14:paraId="69F73CC0" w14:textId="77777777" w:rsidR="00EB5133" w:rsidRDefault="00EB5133" w:rsidP="00C70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886"/>
    <w:rsid w:val="00002AB5"/>
    <w:rsid w:val="00022042"/>
    <w:rsid w:val="0002777F"/>
    <w:rsid w:val="000537D7"/>
    <w:rsid w:val="00083791"/>
    <w:rsid w:val="000859D3"/>
    <w:rsid w:val="000A1DF6"/>
    <w:rsid w:val="000A59AD"/>
    <w:rsid w:val="00102853"/>
    <w:rsid w:val="00115523"/>
    <w:rsid w:val="001457FC"/>
    <w:rsid w:val="00156FAA"/>
    <w:rsid w:val="0018499A"/>
    <w:rsid w:val="001D4231"/>
    <w:rsid w:val="001E759D"/>
    <w:rsid w:val="00267FC0"/>
    <w:rsid w:val="002D1E79"/>
    <w:rsid w:val="002D6881"/>
    <w:rsid w:val="002E2954"/>
    <w:rsid w:val="00341280"/>
    <w:rsid w:val="00342A23"/>
    <w:rsid w:val="0034527E"/>
    <w:rsid w:val="00352D8F"/>
    <w:rsid w:val="003864C9"/>
    <w:rsid w:val="003D0207"/>
    <w:rsid w:val="00416658"/>
    <w:rsid w:val="00434572"/>
    <w:rsid w:val="0043590D"/>
    <w:rsid w:val="004443C0"/>
    <w:rsid w:val="004B4459"/>
    <w:rsid w:val="004F1EC9"/>
    <w:rsid w:val="00506452"/>
    <w:rsid w:val="00557DB5"/>
    <w:rsid w:val="005841BD"/>
    <w:rsid w:val="005B1C13"/>
    <w:rsid w:val="005E4BF1"/>
    <w:rsid w:val="006153A1"/>
    <w:rsid w:val="00617672"/>
    <w:rsid w:val="00661983"/>
    <w:rsid w:val="00684023"/>
    <w:rsid w:val="006F29CF"/>
    <w:rsid w:val="006F6A05"/>
    <w:rsid w:val="006F7A4A"/>
    <w:rsid w:val="0074184E"/>
    <w:rsid w:val="007E2A54"/>
    <w:rsid w:val="007E51E9"/>
    <w:rsid w:val="007F5BE8"/>
    <w:rsid w:val="008033E8"/>
    <w:rsid w:val="008135FD"/>
    <w:rsid w:val="00830953"/>
    <w:rsid w:val="008634A8"/>
    <w:rsid w:val="0087485E"/>
    <w:rsid w:val="009072DA"/>
    <w:rsid w:val="00960215"/>
    <w:rsid w:val="00963BC5"/>
    <w:rsid w:val="00970F58"/>
    <w:rsid w:val="00981D04"/>
    <w:rsid w:val="009C2052"/>
    <w:rsid w:val="009C6722"/>
    <w:rsid w:val="009E47AF"/>
    <w:rsid w:val="009F6192"/>
    <w:rsid w:val="00A63317"/>
    <w:rsid w:val="00AB49F0"/>
    <w:rsid w:val="00AE19A3"/>
    <w:rsid w:val="00B4477E"/>
    <w:rsid w:val="00B67886"/>
    <w:rsid w:val="00BC319A"/>
    <w:rsid w:val="00C14029"/>
    <w:rsid w:val="00C439B4"/>
    <w:rsid w:val="00C70B2E"/>
    <w:rsid w:val="00C9654E"/>
    <w:rsid w:val="00CA7064"/>
    <w:rsid w:val="00D066B5"/>
    <w:rsid w:val="00D3366E"/>
    <w:rsid w:val="00D4092C"/>
    <w:rsid w:val="00D9039C"/>
    <w:rsid w:val="00DD1DF4"/>
    <w:rsid w:val="00DF2CD7"/>
    <w:rsid w:val="00E04F93"/>
    <w:rsid w:val="00E11D63"/>
    <w:rsid w:val="00E14300"/>
    <w:rsid w:val="00E21943"/>
    <w:rsid w:val="00E86FC1"/>
    <w:rsid w:val="00EB5133"/>
    <w:rsid w:val="00EC4E65"/>
    <w:rsid w:val="00F06941"/>
    <w:rsid w:val="00F2071A"/>
    <w:rsid w:val="00F3550C"/>
    <w:rsid w:val="00F525A7"/>
    <w:rsid w:val="00F5385D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6ED2C5B-2CA7-4599-8314-0BDC5249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宋体" w:eastAsia="宋体" w:hAnsi="宋体" w:cstheme="minorBidi"/>
        <w:kern w:val="2"/>
        <w:sz w:val="24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B2E"/>
    <w:pPr>
      <w:spacing w:after="200" w:line="276" w:lineRule="auto"/>
    </w:pPr>
    <w:rPr>
      <w:rFonts w:asciiTheme="minorHAnsi" w:eastAsiaTheme="minorEastAsia" w:hAnsiTheme="minorHAnsi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0B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70B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70B2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0B2E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宋体" w:eastAsia="宋体" w:hAnsi="宋体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C70B2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0B2E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宋体" w:eastAsia="宋体" w:hAnsi="宋体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C70B2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C70B2E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eastAsia="en-US"/>
    </w:rPr>
  </w:style>
  <w:style w:type="character" w:customStyle="1" w:styleId="20">
    <w:name w:val="标题 2 字符"/>
    <w:basedOn w:val="a0"/>
    <w:link w:val="2"/>
    <w:uiPriority w:val="9"/>
    <w:rsid w:val="00C70B2E"/>
    <w:rPr>
      <w:rFonts w:asciiTheme="majorHAnsi" w:eastAsiaTheme="majorEastAsia" w:hAnsiTheme="majorHAnsi" w:cstheme="majorBidi"/>
      <w:b/>
      <w:bCs/>
      <w:color w:val="4472C4" w:themeColor="accent1"/>
      <w:kern w:val="0"/>
      <w:sz w:val="26"/>
      <w:szCs w:val="26"/>
      <w:lang w:eastAsia="en-US"/>
    </w:rPr>
  </w:style>
  <w:style w:type="character" w:customStyle="1" w:styleId="30">
    <w:name w:val="标题 3 字符"/>
    <w:basedOn w:val="a0"/>
    <w:link w:val="3"/>
    <w:uiPriority w:val="9"/>
    <w:rsid w:val="00C70B2E"/>
    <w:rPr>
      <w:rFonts w:asciiTheme="majorHAnsi" w:eastAsiaTheme="majorEastAsia" w:hAnsiTheme="majorHAnsi" w:cstheme="majorBidi"/>
      <w:b/>
      <w:bCs/>
      <w:color w:val="4472C4" w:themeColor="accent1"/>
      <w:kern w:val="0"/>
      <w:sz w:val="22"/>
      <w:lang w:eastAsia="en-US"/>
    </w:rPr>
  </w:style>
  <w:style w:type="table" w:styleId="a7">
    <w:name w:val="Table Grid"/>
    <w:basedOn w:val="a1"/>
    <w:uiPriority w:val="59"/>
    <w:rsid w:val="00C70B2E"/>
    <w:rPr>
      <w:rFonts w:asciiTheme="minorHAnsi" w:eastAsiaTheme="minorEastAsia" w:hAnsiTheme="minorHAnsi"/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yyp yin</dc:creator>
  <cp:keywords/>
  <dc:description/>
  <cp:lastModifiedBy>yyp yin</cp:lastModifiedBy>
  <cp:revision>2</cp:revision>
  <dcterms:created xsi:type="dcterms:W3CDTF">2024-07-19T09:54:00Z</dcterms:created>
  <dcterms:modified xsi:type="dcterms:W3CDTF">2024-07-19T09:54:00Z</dcterms:modified>
</cp:coreProperties>
</file>