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614233" w14:textId="77777777" w:rsidR="003B208E" w:rsidRDefault="003B208E" w:rsidP="003B208E">
      <w:pPr>
        <w:spacing w:after="20" w:line="572" w:lineRule="atLeast"/>
        <w:jc w:val="both"/>
        <w:rPr>
          <w:lang w:eastAsia="zh-CN"/>
        </w:rPr>
      </w:pPr>
      <w:r>
        <w:rPr>
          <w:rFonts w:ascii="仿宋_GB2312" w:eastAsia="仿宋_GB2312" w:hAnsi="仿宋_GB2312"/>
          <w:color w:val="000000"/>
          <w:sz w:val="32"/>
          <w:lang w:eastAsia="zh-CN"/>
        </w:rPr>
        <w:t>1A421020</w:t>
      </w:r>
      <w:r>
        <w:rPr>
          <w:rFonts w:ascii="仿宋_GB2312" w:eastAsia="仿宋_GB2312" w:hAnsi="仿宋_GB2312"/>
          <w:color w:val="000000"/>
          <w:sz w:val="32"/>
          <w:lang w:eastAsia="zh-CN"/>
        </w:rPr>
        <w:tab/>
        <w:t>施工临时用电</w:t>
      </w:r>
    </w:p>
    <w:p w14:paraId="4E3574C5" w14:textId="77777777" w:rsidR="003B208E" w:rsidRDefault="003B208E" w:rsidP="003B208E">
      <w:pPr>
        <w:pStyle w:val="1"/>
        <w:spacing w:after="20" w:line="572" w:lineRule="atLeast"/>
        <w:rPr>
          <w:lang w:eastAsia="zh-CN"/>
        </w:rPr>
      </w:pPr>
      <w:r>
        <w:rPr>
          <w:rFonts w:ascii="黑体" w:eastAsia="黑体" w:hAnsi="黑体"/>
          <w:b w:val="0"/>
          <w:color w:val="000000"/>
          <w:sz w:val="34"/>
          <w:lang w:eastAsia="zh-CN"/>
        </w:rPr>
        <w:t>1A421021</w:t>
      </w:r>
      <w:r>
        <w:rPr>
          <w:rFonts w:ascii="黑体" w:eastAsia="黑体" w:hAnsi="黑体"/>
          <w:b w:val="0"/>
          <w:color w:val="000000"/>
          <w:sz w:val="34"/>
          <w:lang w:eastAsia="zh-CN"/>
        </w:rPr>
        <w:tab/>
        <w:t>临时用电管理</w:t>
      </w:r>
    </w:p>
    <w:p w14:paraId="73CD8606" w14:textId="77777777" w:rsidR="003B208E" w:rsidRDefault="003B208E" w:rsidP="003B208E">
      <w:pPr>
        <w:pStyle w:val="2"/>
        <w:spacing w:after="20" w:line="572" w:lineRule="atLeast"/>
        <w:ind w:firstLine="640"/>
        <w:rPr>
          <w:lang w:eastAsia="zh-CN"/>
        </w:rPr>
      </w:pPr>
      <w:r>
        <w:rPr>
          <w:rFonts w:ascii="黑体" w:eastAsia="黑体" w:hAnsi="黑体"/>
          <w:b w:val="0"/>
          <w:color w:val="000000"/>
          <w:sz w:val="34"/>
          <w:lang w:eastAsia="zh-CN"/>
        </w:rPr>
        <w:t>一、临时用电管理</w:t>
      </w:r>
    </w:p>
    <w:p w14:paraId="2E9B99EE"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(1)施工现场操作电工必须经过国家现行标准考核合格后，持证上岗工作。</w:t>
      </w:r>
    </w:p>
    <w:p w14:paraId="226CFBC8"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(2)各类用电人员必须通过相关安全教育培训和技术交底，掌握安全用电基本知识和所用设备的性能，考核合格后方可上岗工作。</w:t>
      </w:r>
    </w:p>
    <w:p w14:paraId="4A03E399"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(3)安装、巡检、维修或拆除临时用电设备和线路，必须由电工完成，并应有人监护。</w:t>
      </w:r>
    </w:p>
    <w:p w14:paraId="123F4A6A"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(4)临时用电组织设计规定：</w:t>
      </w:r>
    </w:p>
    <w:p w14:paraId="21167237"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1)施工现场临时用电设备在5台及以上或设备总容量在50kW及以上的，应编制用电组织设计；否则应制定安全用电和电气防火措施。</w:t>
      </w:r>
    </w:p>
    <w:p w14:paraId="75287A2D"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2)装饰装修工程或其他特殊施工阶段，应补充编制单项施工用电方案。</w:t>
      </w:r>
    </w:p>
    <w:p w14:paraId="2CE3F427"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3)用电设备必须有专用的开关箱，严禁2台及以上设备共用一个开关箱。</w:t>
      </w:r>
    </w:p>
    <w:p w14:paraId="401A53E9"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(5)临时用电组织设计及变更必须由电气工程技术人员编制，相关部门审核，并经具有法人资格企业的技术负责人或授权的技术人员批准，现场监理签认后实施。</w:t>
      </w:r>
    </w:p>
    <w:p w14:paraId="4D11E005"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lastRenderedPageBreak/>
        <w:t>(6)临时用电工程必须经编制、审核、批准部门和使用单位共同验收，合格后方可投入使用。</w:t>
      </w:r>
    </w:p>
    <w:p w14:paraId="41CBF981"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(7)临时用电工程定期检查应按分部、分项工程进行，对安全隐患必须及时处理，并应履行复查验收手续。</w:t>
      </w:r>
    </w:p>
    <w:p w14:paraId="492FB3F6"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(8)室外220V灯具距地面不得低于3m,室内不得低于2.5m。</w:t>
      </w:r>
    </w:p>
    <w:p w14:paraId="4617C600"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(9)PE线上严禁设开关或熔断器，严禁通过工作电流，且严禁断线。</w:t>
      </w:r>
    </w:p>
    <w:p w14:paraId="1913BB7B" w14:textId="77777777" w:rsidR="003B208E" w:rsidRDefault="003B208E" w:rsidP="003B208E">
      <w:pPr>
        <w:pStyle w:val="2"/>
        <w:spacing w:after="20" w:line="572" w:lineRule="atLeast"/>
        <w:ind w:firstLine="640"/>
        <w:rPr>
          <w:lang w:eastAsia="zh-CN"/>
        </w:rPr>
      </w:pPr>
      <w:r>
        <w:rPr>
          <w:rFonts w:ascii="黑体" w:eastAsia="黑体" w:hAnsi="黑体"/>
          <w:b w:val="0"/>
          <w:color w:val="000000"/>
          <w:sz w:val="34"/>
          <w:lang w:eastAsia="zh-CN"/>
        </w:rPr>
        <w:t>二、《施工现场临时用电安全技术规范》JGJ46-2005的强制性条文</w:t>
      </w:r>
    </w:p>
    <w:p w14:paraId="250C0A1E"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(1)施工现场临时用电工程电源中性点直接接地的220/380V三相四线制低压电力系统，必须符合下列规定：采用三级配电系统；采用TN-S接零保护系统；采用二级漏电保护系统。</w:t>
      </w:r>
    </w:p>
    <w:p w14:paraId="59ECEFB9"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(2)当采用专用变压器、TN-S接</w:t>
      </w:r>
      <w:proofErr w:type="gramStart"/>
      <w:r>
        <w:rPr>
          <w:rFonts w:ascii="仿宋_GB2312" w:eastAsia="仿宋_GB2312" w:hAnsi="仿宋_GB2312"/>
          <w:color w:val="000000"/>
          <w:sz w:val="32"/>
          <w:lang w:eastAsia="zh-CN"/>
        </w:rPr>
        <w:t>零保护</w:t>
      </w:r>
      <w:proofErr w:type="gramEnd"/>
      <w:r>
        <w:rPr>
          <w:rFonts w:ascii="仿宋_GB2312" w:eastAsia="仿宋_GB2312" w:hAnsi="仿宋_GB2312"/>
          <w:color w:val="000000"/>
          <w:sz w:val="32"/>
          <w:lang w:eastAsia="zh-CN"/>
        </w:rPr>
        <w:t>供电系统的施工现场，电气设备的金属外壳必须与保护零线连接。保护零线应由工作接地线、配电室（总配电箱）电源侧零线或总漏电保护器电源侧零线处引出。</w:t>
      </w:r>
    </w:p>
    <w:p w14:paraId="71B56957"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(3)当施工现场与外电线路共用同一供电系统时，电气设备的接地、接</w:t>
      </w:r>
      <w:proofErr w:type="gramStart"/>
      <w:r>
        <w:rPr>
          <w:rFonts w:ascii="仿宋_GB2312" w:eastAsia="仿宋_GB2312" w:hAnsi="仿宋_GB2312"/>
          <w:color w:val="000000"/>
          <w:sz w:val="32"/>
          <w:lang w:eastAsia="zh-CN"/>
        </w:rPr>
        <w:t>零保护</w:t>
      </w:r>
      <w:proofErr w:type="gramEnd"/>
      <w:r>
        <w:rPr>
          <w:rFonts w:ascii="仿宋_GB2312" w:eastAsia="仿宋_GB2312" w:hAnsi="仿宋_GB2312"/>
          <w:color w:val="000000"/>
          <w:sz w:val="32"/>
          <w:lang w:eastAsia="zh-CN"/>
        </w:rPr>
        <w:t>应与原系统保持一致，不得一部分设备</w:t>
      </w:r>
      <w:proofErr w:type="gramStart"/>
      <w:r>
        <w:rPr>
          <w:rFonts w:ascii="仿宋_GB2312" w:eastAsia="仿宋_GB2312" w:hAnsi="仿宋_GB2312"/>
          <w:color w:val="000000"/>
          <w:sz w:val="32"/>
          <w:lang w:eastAsia="zh-CN"/>
        </w:rPr>
        <w:t>做保护接零</w:t>
      </w:r>
      <w:proofErr w:type="gramEnd"/>
      <w:r>
        <w:rPr>
          <w:rFonts w:ascii="仿宋_GB2312" w:eastAsia="仿宋_GB2312" w:hAnsi="仿宋_GB2312"/>
          <w:color w:val="000000"/>
          <w:sz w:val="32"/>
          <w:lang w:eastAsia="zh-CN"/>
        </w:rPr>
        <w:t>，另一部分设备</w:t>
      </w:r>
      <w:proofErr w:type="gramStart"/>
      <w:r>
        <w:rPr>
          <w:rFonts w:ascii="仿宋_GB2312" w:eastAsia="仿宋_GB2312" w:hAnsi="仿宋_GB2312"/>
          <w:color w:val="000000"/>
          <w:sz w:val="32"/>
          <w:lang w:eastAsia="zh-CN"/>
        </w:rPr>
        <w:t>做保</w:t>
      </w:r>
      <w:proofErr w:type="gramEnd"/>
      <w:r>
        <w:rPr>
          <w:rFonts w:ascii="仿宋_GB2312" w:eastAsia="仿宋_GB2312" w:hAnsi="仿宋_GB2312"/>
          <w:color w:val="000000"/>
          <w:sz w:val="32"/>
          <w:lang w:eastAsia="zh-CN"/>
        </w:rPr>
        <w:t>护接地。</w:t>
      </w:r>
    </w:p>
    <w:p w14:paraId="57972657"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lastRenderedPageBreak/>
        <w:t>(4)TN-S系统中的保护零线除必须在配电室或总配电箱处做重复接地外，还必须在配电系统的中间处和末端处做重复接地。</w:t>
      </w:r>
    </w:p>
    <w:p w14:paraId="5CA6BBA2"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(5)配电柜应装设电源隔离开关及短路、过载、漏电保护电器。电源隔离开关分断时，应有明显可见的分断点。</w:t>
      </w:r>
    </w:p>
    <w:p w14:paraId="03792280"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(6)配电箱的电器安装板上必须分设N线端子板和PE线端子板。N线端子板必须与金属电器安装板绝缘；PE线端子板必须与金属电器安装板做电气连接。</w:t>
      </w:r>
    </w:p>
    <w:p w14:paraId="592D4A83"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(7)配电箱、开关箱的电源进线端严禁采用插头和插座做活动连接。</w:t>
      </w:r>
    </w:p>
    <w:p w14:paraId="39905E67"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(8)对混凝土搅拌机、钢筋加工机械、木工机械、盾构机械等设备进行清理、检查、维修时，必须将其开关</w:t>
      </w:r>
      <w:proofErr w:type="gramStart"/>
      <w:r>
        <w:rPr>
          <w:rFonts w:ascii="仿宋_GB2312" w:eastAsia="仿宋_GB2312" w:hAnsi="仿宋_GB2312"/>
          <w:color w:val="000000"/>
          <w:sz w:val="32"/>
          <w:lang w:eastAsia="zh-CN"/>
        </w:rPr>
        <w:t>箱分闸</w:t>
      </w:r>
      <w:proofErr w:type="gramEnd"/>
      <w:r>
        <w:rPr>
          <w:rFonts w:ascii="仿宋_GB2312" w:eastAsia="仿宋_GB2312" w:hAnsi="仿宋_GB2312"/>
          <w:color w:val="000000"/>
          <w:sz w:val="32"/>
          <w:lang w:eastAsia="zh-CN"/>
        </w:rPr>
        <w:t>断电，呈现可见电源分断点，并关门上锁。</w:t>
      </w:r>
    </w:p>
    <w:p w14:paraId="728274F3"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(9)下列特殊场所应使用安全特低电压照明器：</w:t>
      </w:r>
    </w:p>
    <w:p w14:paraId="11CD7ED3"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1)隧道、人防工程、高温、有导电灰尘、比较潮湿或灯具离地面高度低于2.5m等场所的照明，电源电压不应大于36V;</w:t>
      </w:r>
    </w:p>
    <w:p w14:paraId="1387118A"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2)潮湿和易触及带电体场所的照明，电源电压不得大于24V;</w:t>
      </w:r>
    </w:p>
    <w:p w14:paraId="3FB8870B"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3)特别潮湿场所、导电良好的地面、锅炉或金属容器内的照明，电源电压不得大于</w:t>
      </w:r>
      <m:oMath>
        <m:r>
          <w:rPr>
            <w:rFonts w:ascii="Cambria Math" w:hAnsi="Cambria Math"/>
            <w:color w:val="000000"/>
            <w:lang w:eastAsia="zh-CN"/>
          </w:rPr>
          <m:t>12</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m:t>
            </m:r>
          </m:sub>
        </m:sSub>
      </m:oMath>
    </w:p>
    <w:p w14:paraId="25217568"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lastRenderedPageBreak/>
        <w:t>(10)照明变压器必须使用双绕组型安全隔离变压器，严禁使用自耦变压器。</w:t>
      </w:r>
    </w:p>
    <w:p w14:paraId="0FA1EA68" w14:textId="77777777" w:rsidR="003B208E" w:rsidRDefault="003B208E" w:rsidP="003B208E">
      <w:pPr>
        <w:spacing w:after="20" w:line="572" w:lineRule="atLeast"/>
        <w:ind w:firstLine="640"/>
        <w:jc w:val="both"/>
        <w:rPr>
          <w:lang w:eastAsia="zh-CN"/>
        </w:rPr>
      </w:pPr>
      <w:r>
        <w:rPr>
          <w:rFonts w:ascii="仿宋_GB2312" w:eastAsia="仿宋_GB2312" w:hAnsi="仿宋_GB2312"/>
          <w:color w:val="000000"/>
          <w:sz w:val="32"/>
          <w:lang w:eastAsia="zh-CN"/>
        </w:rPr>
        <w:t>(11)对夜间影响飞机或车辆通行的在建工程及机械设备，必须设置醒目的红色信号灯，其电源应设在施工现场总电源开关的前侧，并应设置外电线路停止供电时的应急自备电源。</w:t>
      </w:r>
    </w:p>
    <w:p w14:paraId="58E4B468" w14:textId="77777777" w:rsidR="00343B7B" w:rsidRDefault="00343B7B" w:rsidP="00343B7B">
      <w:pPr>
        <w:pStyle w:val="1"/>
        <w:spacing w:after="20" w:line="572" w:lineRule="atLeast"/>
        <w:rPr>
          <w:lang w:eastAsia="zh-CN"/>
        </w:rPr>
      </w:pPr>
      <w:r>
        <w:rPr>
          <w:rFonts w:ascii="黑体" w:eastAsia="黑体" w:hAnsi="黑体"/>
          <w:b w:val="0"/>
          <w:color w:val="000000"/>
          <w:sz w:val="34"/>
          <w:lang w:eastAsia="zh-CN"/>
        </w:rPr>
        <w:t>1A421022配电线路布置</w:t>
      </w:r>
    </w:p>
    <w:p w14:paraId="58E9D39E" w14:textId="77777777" w:rsidR="00343B7B" w:rsidRDefault="00343B7B" w:rsidP="00343B7B">
      <w:pPr>
        <w:pStyle w:val="2"/>
        <w:spacing w:after="20" w:line="572" w:lineRule="atLeast"/>
        <w:ind w:firstLine="640"/>
        <w:rPr>
          <w:lang w:eastAsia="zh-CN"/>
        </w:rPr>
      </w:pPr>
      <w:r>
        <w:rPr>
          <w:rFonts w:ascii="黑体" w:eastAsia="黑体" w:hAnsi="黑体"/>
          <w:b w:val="0"/>
          <w:color w:val="000000"/>
          <w:sz w:val="34"/>
          <w:lang w:eastAsia="zh-CN"/>
        </w:rPr>
        <w:t>一、架空线路敷设基本要求</w:t>
      </w:r>
    </w:p>
    <w:p w14:paraId="1D684C70"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(1)施工现场架空线必须采用绝缘导线，架设时必须使用专用电杆，严禁架设在树木、脚手架或其他设施上。</w:t>
      </w:r>
    </w:p>
    <w:p w14:paraId="454917B7"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(2)导线长期连续负荷电流应小于导线计算负荷电流。</w:t>
      </w:r>
    </w:p>
    <w:p w14:paraId="201F95B5"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(3)三相四线制线路的N线和PE线截面不小于相线截面的50%，单相线路的零线截面与相线截面相同。</w:t>
      </w:r>
    </w:p>
    <w:p w14:paraId="76BF0C81"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(4)架空线路必须有短路保护。采用熔断器做短路保护时，其熔体额定电流应小于等于明敷绝缘导线长期连续负荷允许载流量的1.5倍。</w:t>
      </w:r>
    </w:p>
    <w:p w14:paraId="1A4FA335"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(5)架空线路必须有过载保护。采用熔断器或断路器做过载保护时，绝缘导线长期连续负荷允许载流量不应小于熔断器熔体额定电流或断路器长延时过流脱扣器脱扣电流整定值的1.25倍。</w:t>
      </w:r>
    </w:p>
    <w:p w14:paraId="7C34E2EB" w14:textId="77777777" w:rsidR="00343B7B" w:rsidRDefault="00343B7B" w:rsidP="00343B7B">
      <w:pPr>
        <w:pStyle w:val="2"/>
        <w:spacing w:after="20" w:line="572" w:lineRule="atLeast"/>
        <w:ind w:firstLine="640"/>
        <w:rPr>
          <w:lang w:eastAsia="zh-CN"/>
        </w:rPr>
      </w:pPr>
      <w:r>
        <w:rPr>
          <w:rFonts w:ascii="黑体" w:eastAsia="黑体" w:hAnsi="黑体"/>
          <w:b w:val="0"/>
          <w:color w:val="000000"/>
          <w:sz w:val="34"/>
          <w:lang w:eastAsia="zh-CN"/>
        </w:rPr>
        <w:lastRenderedPageBreak/>
        <w:t>二、电缆线路敷设基本要求</w:t>
      </w:r>
    </w:p>
    <w:p w14:paraId="13F25A31"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(1)电缆中必须包含全部工作芯线和作保护零线的芯线，</w:t>
      </w:r>
      <w:proofErr w:type="gramStart"/>
      <w:r>
        <w:rPr>
          <w:rFonts w:ascii="仿宋_GB2312" w:eastAsia="仿宋_GB2312" w:hAnsi="仿宋_GB2312"/>
          <w:color w:val="000000"/>
          <w:sz w:val="32"/>
          <w:lang w:eastAsia="zh-CN"/>
        </w:rPr>
        <w:t>即五芯电缆</w:t>
      </w:r>
      <w:proofErr w:type="gramEnd"/>
      <w:r>
        <w:rPr>
          <w:rFonts w:ascii="仿宋_GB2312" w:eastAsia="仿宋_GB2312" w:hAnsi="仿宋_GB2312"/>
          <w:color w:val="000000"/>
          <w:sz w:val="32"/>
          <w:lang w:eastAsia="zh-CN"/>
        </w:rPr>
        <w:t>。</w:t>
      </w:r>
    </w:p>
    <w:p w14:paraId="537AD75A"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(2)</w:t>
      </w:r>
      <w:proofErr w:type="gramStart"/>
      <w:r>
        <w:rPr>
          <w:rFonts w:ascii="仿宋_GB2312" w:eastAsia="仿宋_GB2312" w:hAnsi="仿宋_GB2312"/>
          <w:color w:val="000000"/>
          <w:sz w:val="32"/>
          <w:lang w:eastAsia="zh-CN"/>
        </w:rPr>
        <w:t>五芯电缆</w:t>
      </w:r>
      <w:proofErr w:type="gramEnd"/>
      <w:r>
        <w:rPr>
          <w:rFonts w:ascii="仿宋_GB2312" w:eastAsia="仿宋_GB2312" w:hAnsi="仿宋_GB2312"/>
          <w:color w:val="000000"/>
          <w:sz w:val="32"/>
          <w:lang w:eastAsia="zh-CN"/>
        </w:rPr>
        <w:t>必须包含淡蓝、绿/黄两种颜色绝缘芯线。淡蓝色芯线必须用作N线；绿/黄双色芯线必须用作PE线，严禁混用。</w:t>
      </w:r>
    </w:p>
    <w:p w14:paraId="2AA47176"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(3)电缆线路应采用埋地或架空敷设，严禁沿地面明设，并应避免机械损伤和介质腐蚀。</w:t>
      </w:r>
    </w:p>
    <w:p w14:paraId="01A18693"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(4)直接埋地敷设的电缆过墙、过道、过临建设施时，</w:t>
      </w:r>
      <w:proofErr w:type="gramStart"/>
      <w:r>
        <w:rPr>
          <w:rFonts w:ascii="仿宋_GB2312" w:eastAsia="仿宋_GB2312" w:hAnsi="仿宋_GB2312"/>
          <w:color w:val="000000"/>
          <w:sz w:val="32"/>
          <w:lang w:eastAsia="zh-CN"/>
        </w:rPr>
        <w:t>应套钢管</w:t>
      </w:r>
      <w:proofErr w:type="gramEnd"/>
      <w:r>
        <w:rPr>
          <w:rFonts w:ascii="仿宋_GB2312" w:eastAsia="仿宋_GB2312" w:hAnsi="仿宋_GB2312"/>
          <w:color w:val="000000"/>
          <w:sz w:val="32"/>
          <w:lang w:eastAsia="zh-CN"/>
        </w:rPr>
        <w:t>保护。</w:t>
      </w:r>
    </w:p>
    <w:p w14:paraId="2CB46C8D"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(5)电缆线路必须有短路保护和过载保护。</w:t>
      </w:r>
    </w:p>
    <w:p w14:paraId="20B52B14" w14:textId="77777777" w:rsidR="00343B7B" w:rsidRDefault="00343B7B" w:rsidP="00343B7B">
      <w:pPr>
        <w:pStyle w:val="2"/>
        <w:spacing w:after="20" w:line="572" w:lineRule="atLeast"/>
        <w:ind w:firstLine="640"/>
        <w:rPr>
          <w:lang w:eastAsia="zh-CN"/>
        </w:rPr>
      </w:pPr>
      <w:r>
        <w:rPr>
          <w:rFonts w:ascii="黑体" w:eastAsia="黑体" w:hAnsi="黑体"/>
          <w:b w:val="0"/>
          <w:color w:val="000000"/>
          <w:sz w:val="34"/>
          <w:lang w:eastAsia="zh-CN"/>
        </w:rPr>
        <w:t>三、室内配线要求</w:t>
      </w:r>
    </w:p>
    <w:p w14:paraId="614252AD"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(1)室内配线必须采用绝缘导线或电缆。</w:t>
      </w:r>
    </w:p>
    <w:p w14:paraId="486AA614"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(2)</w:t>
      </w:r>
      <w:proofErr w:type="gramStart"/>
      <w:r>
        <w:rPr>
          <w:rFonts w:ascii="仿宋_GB2312" w:eastAsia="仿宋_GB2312" w:hAnsi="仿宋_GB2312"/>
          <w:color w:val="000000"/>
          <w:sz w:val="32"/>
          <w:lang w:eastAsia="zh-CN"/>
        </w:rPr>
        <w:t>室内非埋地</w:t>
      </w:r>
      <w:proofErr w:type="gramEnd"/>
      <w:r>
        <w:rPr>
          <w:rFonts w:ascii="仿宋_GB2312" w:eastAsia="仿宋_GB2312" w:hAnsi="仿宋_GB2312"/>
          <w:color w:val="000000"/>
          <w:sz w:val="32"/>
          <w:lang w:eastAsia="zh-CN"/>
        </w:rPr>
        <w:t>明敷主干线距地面高度不得小于2.5m。</w:t>
      </w:r>
    </w:p>
    <w:p w14:paraId="3E722CBA"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(3)室内配线必须有短路保护和过载保护。</w:t>
      </w:r>
    </w:p>
    <w:p w14:paraId="3D2A9EC8" w14:textId="77777777" w:rsidR="00343B7B" w:rsidRDefault="00343B7B" w:rsidP="00343B7B">
      <w:pPr>
        <w:pStyle w:val="1"/>
        <w:spacing w:after="20" w:line="572" w:lineRule="atLeast"/>
        <w:rPr>
          <w:lang w:eastAsia="zh-CN"/>
        </w:rPr>
      </w:pPr>
      <w:r>
        <w:rPr>
          <w:rFonts w:ascii="黑体" w:eastAsia="黑体" w:hAnsi="黑体"/>
          <w:b w:val="0"/>
          <w:color w:val="000000"/>
          <w:sz w:val="34"/>
          <w:lang w:eastAsia="zh-CN"/>
        </w:rPr>
        <w:t>1A421023配电箱与开关箱的设置</w:t>
      </w:r>
    </w:p>
    <w:p w14:paraId="271A35E0"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(1)配电系统应采用配电柜或总配电箱、分配电箱、</w:t>
      </w:r>
      <w:proofErr w:type="gramStart"/>
      <w:r>
        <w:rPr>
          <w:rFonts w:ascii="仿宋_GB2312" w:eastAsia="仿宋_GB2312" w:hAnsi="仿宋_GB2312"/>
          <w:color w:val="000000"/>
          <w:sz w:val="32"/>
          <w:lang w:eastAsia="zh-CN"/>
        </w:rPr>
        <w:t>开关箱三级配</w:t>
      </w:r>
      <w:proofErr w:type="gramEnd"/>
      <w:r>
        <w:rPr>
          <w:rFonts w:ascii="仿宋_GB2312" w:eastAsia="仿宋_GB2312" w:hAnsi="仿宋_GB2312"/>
          <w:color w:val="000000"/>
          <w:sz w:val="32"/>
          <w:lang w:eastAsia="zh-CN"/>
        </w:rPr>
        <w:t>电方式。</w:t>
      </w:r>
    </w:p>
    <w:p w14:paraId="33919656"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(2)总配电箱应设在靠近进场电源的区域，分配电箱应设在用电设备或负荷相对集中的区域，分配电箱与开关箱的</w:t>
      </w:r>
      <w:r>
        <w:rPr>
          <w:rFonts w:ascii="仿宋_GB2312" w:eastAsia="仿宋_GB2312" w:hAnsi="仿宋_GB2312"/>
          <w:color w:val="000000"/>
          <w:sz w:val="32"/>
          <w:lang w:eastAsia="zh-CN"/>
        </w:rPr>
        <w:lastRenderedPageBreak/>
        <w:t>距离不得超过30m,开关箱与其控制的固定式用电设备的水平距离不宜超过3m。</w:t>
      </w:r>
    </w:p>
    <w:p w14:paraId="7341316A"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(3)每台用电设备必须有各自专用的开关箱，严禁用同一个开关箱直接控制两台及两台以上用电设备（含插座）。</w:t>
      </w:r>
    </w:p>
    <w:p w14:paraId="271196FC"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(4)配电箱、开关箱（含配件）应装设端正、牢固。固定式配电箱、开关箱的中心点与地面的垂直距离应为</w:t>
      </w:r>
      <m:oMath>
        <m:r>
          <w:rPr>
            <w:rFonts w:ascii="Cambria Math" w:hAnsi="Cambria Math"/>
            <w:color w:val="000000"/>
            <w:lang w:eastAsia="zh-CN"/>
          </w:rPr>
          <m:t>1.4~1.6m</m:t>
        </m:r>
      </m:oMath>
      <w:r>
        <w:rPr>
          <w:rFonts w:ascii="仿宋_GB2312" w:eastAsia="仿宋_GB2312" w:hAnsi="仿宋_GB2312"/>
          <w:color w:val="000000"/>
          <w:sz w:val="32"/>
          <w:lang w:eastAsia="zh-CN"/>
        </w:rPr>
        <w:t>。移动式配电箱、开关箱应装设在坚固、稳定的支架上，其中心点与地面的垂直距离宜为</w:t>
      </w:r>
      <m:oMath>
        <m:r>
          <w:rPr>
            <w:rFonts w:ascii="Cambria Math" w:hAnsi="Cambria Math"/>
            <w:color w:val="000000"/>
            <w:lang w:eastAsia="zh-CN"/>
          </w:rPr>
          <m:t>0.8~1.6m</m:t>
        </m:r>
      </m:oMath>
      <w:r>
        <w:rPr>
          <w:rFonts w:ascii="仿宋_GB2312" w:eastAsia="仿宋_GB2312" w:hAnsi="仿宋_GB2312"/>
          <w:color w:val="000000"/>
          <w:sz w:val="32"/>
          <w:lang w:eastAsia="zh-CN"/>
        </w:rPr>
        <w:t>。</w:t>
      </w:r>
    </w:p>
    <w:p w14:paraId="68DA158A"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(5)配电箱的电器安装板上必须分设N线端子板和PE线端子板。N线端子板必须与金属电器安装板绝缘；PE线端子板必须与金属电器安装板做电气连接。进出线中的N线必须通过N线端子板连接，PE线必须通过PE线端子板连接。</w:t>
      </w:r>
    </w:p>
    <w:p w14:paraId="117940BA" w14:textId="77777777" w:rsidR="00343B7B" w:rsidRDefault="00343B7B" w:rsidP="00343B7B">
      <w:pPr>
        <w:spacing w:after="20" w:line="572" w:lineRule="atLeast"/>
        <w:ind w:firstLine="640"/>
        <w:jc w:val="both"/>
        <w:rPr>
          <w:lang w:eastAsia="zh-CN"/>
        </w:rPr>
      </w:pPr>
      <w:r>
        <w:rPr>
          <w:rFonts w:ascii="仿宋_GB2312" w:eastAsia="仿宋_GB2312" w:hAnsi="仿宋_GB2312"/>
          <w:color w:val="000000"/>
          <w:sz w:val="32"/>
          <w:lang w:eastAsia="zh-CN"/>
        </w:rPr>
        <w:t>(6)配电箱、开关箱的金属箱体、金属电器安装板以及电器正常不带电的金属底座、外壳等必须通过PE线端子板与PE</w:t>
      </w:r>
      <w:proofErr w:type="gramStart"/>
      <w:r>
        <w:rPr>
          <w:rFonts w:ascii="仿宋_GB2312" w:eastAsia="仿宋_GB2312" w:hAnsi="仿宋_GB2312"/>
          <w:color w:val="000000"/>
          <w:sz w:val="32"/>
          <w:lang w:eastAsia="zh-CN"/>
        </w:rPr>
        <w:t>线做电气</w:t>
      </w:r>
      <w:proofErr w:type="gramEnd"/>
      <w:r>
        <w:rPr>
          <w:rFonts w:ascii="仿宋_GB2312" w:eastAsia="仿宋_GB2312" w:hAnsi="仿宋_GB2312"/>
          <w:color w:val="000000"/>
          <w:sz w:val="32"/>
          <w:lang w:eastAsia="zh-CN"/>
        </w:rPr>
        <w:t>连接，金属箱门与金属箱体必须做电气连接。</w:t>
      </w:r>
    </w:p>
    <w:sectPr w:rsidR="00343B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F18F8A" w14:textId="77777777" w:rsidR="00753276" w:rsidRDefault="00753276" w:rsidP="003B208E">
      <w:pPr>
        <w:spacing w:after="0" w:line="240" w:lineRule="auto"/>
      </w:pPr>
      <w:r>
        <w:separator/>
      </w:r>
    </w:p>
  </w:endnote>
  <w:endnote w:type="continuationSeparator" w:id="0">
    <w:p w14:paraId="53EBC80B" w14:textId="77777777" w:rsidR="00753276" w:rsidRDefault="00753276" w:rsidP="003B2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B22392" w14:textId="77777777" w:rsidR="00753276" w:rsidRDefault="00753276" w:rsidP="003B208E">
      <w:pPr>
        <w:spacing w:after="0" w:line="240" w:lineRule="auto"/>
      </w:pPr>
      <w:r>
        <w:separator/>
      </w:r>
    </w:p>
  </w:footnote>
  <w:footnote w:type="continuationSeparator" w:id="0">
    <w:p w14:paraId="42D287D0" w14:textId="77777777" w:rsidR="00753276" w:rsidRDefault="00753276" w:rsidP="003B20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59D"/>
    <w:rsid w:val="00002AB5"/>
    <w:rsid w:val="00022042"/>
    <w:rsid w:val="0002777F"/>
    <w:rsid w:val="000537D7"/>
    <w:rsid w:val="00083791"/>
    <w:rsid w:val="000859D3"/>
    <w:rsid w:val="000A1DF6"/>
    <w:rsid w:val="000A59AD"/>
    <w:rsid w:val="00102853"/>
    <w:rsid w:val="00115523"/>
    <w:rsid w:val="001457FC"/>
    <w:rsid w:val="00156FAA"/>
    <w:rsid w:val="0018499A"/>
    <w:rsid w:val="001D4231"/>
    <w:rsid w:val="001E759D"/>
    <w:rsid w:val="00267FC0"/>
    <w:rsid w:val="002D1E79"/>
    <w:rsid w:val="002D6881"/>
    <w:rsid w:val="002E2954"/>
    <w:rsid w:val="003369D8"/>
    <w:rsid w:val="00341280"/>
    <w:rsid w:val="00342A23"/>
    <w:rsid w:val="00343B7B"/>
    <w:rsid w:val="0034527E"/>
    <w:rsid w:val="00352D8F"/>
    <w:rsid w:val="003864C9"/>
    <w:rsid w:val="003B208E"/>
    <w:rsid w:val="003D0207"/>
    <w:rsid w:val="00416658"/>
    <w:rsid w:val="00434572"/>
    <w:rsid w:val="0043590D"/>
    <w:rsid w:val="004443C0"/>
    <w:rsid w:val="004B4459"/>
    <w:rsid w:val="004F1EC9"/>
    <w:rsid w:val="00506452"/>
    <w:rsid w:val="00557DB5"/>
    <w:rsid w:val="005841BD"/>
    <w:rsid w:val="005B1C13"/>
    <w:rsid w:val="005E4BF1"/>
    <w:rsid w:val="006153A1"/>
    <w:rsid w:val="00661983"/>
    <w:rsid w:val="00684023"/>
    <w:rsid w:val="006F29CF"/>
    <w:rsid w:val="006F6A05"/>
    <w:rsid w:val="006F7A4A"/>
    <w:rsid w:val="0074184E"/>
    <w:rsid w:val="00753276"/>
    <w:rsid w:val="00773F03"/>
    <w:rsid w:val="007D2113"/>
    <w:rsid w:val="007E2A54"/>
    <w:rsid w:val="007E51E9"/>
    <w:rsid w:val="007F5BE8"/>
    <w:rsid w:val="008033E8"/>
    <w:rsid w:val="008135FD"/>
    <w:rsid w:val="00830953"/>
    <w:rsid w:val="008634A8"/>
    <w:rsid w:val="0087485E"/>
    <w:rsid w:val="009072DA"/>
    <w:rsid w:val="00960215"/>
    <w:rsid w:val="00963BC5"/>
    <w:rsid w:val="00970F58"/>
    <w:rsid w:val="00981D04"/>
    <w:rsid w:val="009C2052"/>
    <w:rsid w:val="009C6722"/>
    <w:rsid w:val="009E47AF"/>
    <w:rsid w:val="009F6192"/>
    <w:rsid w:val="00A1759D"/>
    <w:rsid w:val="00A235A4"/>
    <w:rsid w:val="00A63317"/>
    <w:rsid w:val="00AB49F0"/>
    <w:rsid w:val="00AE19A3"/>
    <w:rsid w:val="00B4477E"/>
    <w:rsid w:val="00BC319A"/>
    <w:rsid w:val="00C14029"/>
    <w:rsid w:val="00C439B4"/>
    <w:rsid w:val="00C9654E"/>
    <w:rsid w:val="00CA7064"/>
    <w:rsid w:val="00D066B5"/>
    <w:rsid w:val="00D3366E"/>
    <w:rsid w:val="00D4092C"/>
    <w:rsid w:val="00D71452"/>
    <w:rsid w:val="00D9039C"/>
    <w:rsid w:val="00DD1DF4"/>
    <w:rsid w:val="00DF2CD7"/>
    <w:rsid w:val="00E04F93"/>
    <w:rsid w:val="00E0622C"/>
    <w:rsid w:val="00E11D63"/>
    <w:rsid w:val="00E14300"/>
    <w:rsid w:val="00E21943"/>
    <w:rsid w:val="00E86FC1"/>
    <w:rsid w:val="00EC4E65"/>
    <w:rsid w:val="00F06941"/>
    <w:rsid w:val="00F2071A"/>
    <w:rsid w:val="00F3550C"/>
    <w:rsid w:val="00F525A7"/>
    <w:rsid w:val="00F5385D"/>
    <w:rsid w:val="00FF7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9D8F93B-6C2C-4327-8C5D-20FAC30DF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宋体" w:eastAsia="宋体" w:hAnsi="宋体" w:cstheme="minorBidi"/>
        <w:kern w:val="2"/>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08E"/>
    <w:pPr>
      <w:spacing w:after="200" w:line="276" w:lineRule="auto"/>
    </w:pPr>
    <w:rPr>
      <w:rFonts w:asciiTheme="minorHAnsi" w:eastAsiaTheme="minorEastAsia" w:hAnsiTheme="minorHAnsi"/>
      <w:kern w:val="0"/>
      <w:sz w:val="22"/>
      <w:lang w:eastAsia="en-US"/>
    </w:rPr>
  </w:style>
  <w:style w:type="paragraph" w:styleId="1">
    <w:name w:val="heading 1"/>
    <w:basedOn w:val="a"/>
    <w:next w:val="a"/>
    <w:link w:val="10"/>
    <w:uiPriority w:val="9"/>
    <w:qFormat/>
    <w:rsid w:val="003B208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3B208E"/>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208E"/>
    <w:pPr>
      <w:widowControl w:val="0"/>
      <w:tabs>
        <w:tab w:val="center" w:pos="4153"/>
        <w:tab w:val="right" w:pos="8306"/>
      </w:tabs>
      <w:snapToGrid w:val="0"/>
      <w:spacing w:after="0" w:line="240" w:lineRule="auto"/>
      <w:jc w:val="center"/>
    </w:pPr>
    <w:rPr>
      <w:rFonts w:ascii="宋体" w:eastAsia="宋体" w:hAnsi="宋体"/>
      <w:kern w:val="2"/>
      <w:sz w:val="18"/>
      <w:szCs w:val="18"/>
      <w:lang w:eastAsia="zh-CN"/>
    </w:rPr>
  </w:style>
  <w:style w:type="character" w:customStyle="1" w:styleId="a4">
    <w:name w:val="页眉 字符"/>
    <w:basedOn w:val="a0"/>
    <w:link w:val="a3"/>
    <w:uiPriority w:val="99"/>
    <w:rsid w:val="003B208E"/>
    <w:rPr>
      <w:sz w:val="18"/>
      <w:szCs w:val="18"/>
    </w:rPr>
  </w:style>
  <w:style w:type="paragraph" w:styleId="a5">
    <w:name w:val="footer"/>
    <w:basedOn w:val="a"/>
    <w:link w:val="a6"/>
    <w:uiPriority w:val="99"/>
    <w:unhideWhenUsed/>
    <w:rsid w:val="003B208E"/>
    <w:pPr>
      <w:widowControl w:val="0"/>
      <w:tabs>
        <w:tab w:val="center" w:pos="4153"/>
        <w:tab w:val="right" w:pos="8306"/>
      </w:tabs>
      <w:snapToGrid w:val="0"/>
      <w:spacing w:after="0" w:line="240" w:lineRule="auto"/>
    </w:pPr>
    <w:rPr>
      <w:rFonts w:ascii="宋体" w:eastAsia="宋体" w:hAnsi="宋体"/>
      <w:kern w:val="2"/>
      <w:sz w:val="18"/>
      <w:szCs w:val="18"/>
      <w:lang w:eastAsia="zh-CN"/>
    </w:rPr>
  </w:style>
  <w:style w:type="character" w:customStyle="1" w:styleId="a6">
    <w:name w:val="页脚 字符"/>
    <w:basedOn w:val="a0"/>
    <w:link w:val="a5"/>
    <w:uiPriority w:val="99"/>
    <w:rsid w:val="003B208E"/>
    <w:rPr>
      <w:sz w:val="18"/>
      <w:szCs w:val="18"/>
    </w:rPr>
  </w:style>
  <w:style w:type="character" w:customStyle="1" w:styleId="10">
    <w:name w:val="标题 1 字符"/>
    <w:basedOn w:val="a0"/>
    <w:link w:val="1"/>
    <w:uiPriority w:val="9"/>
    <w:rsid w:val="003B208E"/>
    <w:rPr>
      <w:rFonts w:asciiTheme="majorHAnsi" w:eastAsiaTheme="majorEastAsia" w:hAnsiTheme="majorHAnsi" w:cstheme="majorBidi"/>
      <w:b/>
      <w:bCs/>
      <w:color w:val="2F5496" w:themeColor="accent1" w:themeShade="BF"/>
      <w:kern w:val="0"/>
      <w:sz w:val="28"/>
      <w:szCs w:val="28"/>
      <w:lang w:eastAsia="en-US"/>
    </w:rPr>
  </w:style>
  <w:style w:type="character" w:customStyle="1" w:styleId="20">
    <w:name w:val="标题 2 字符"/>
    <w:basedOn w:val="a0"/>
    <w:link w:val="2"/>
    <w:uiPriority w:val="9"/>
    <w:rsid w:val="003B208E"/>
    <w:rPr>
      <w:rFonts w:asciiTheme="majorHAnsi" w:eastAsiaTheme="majorEastAsia" w:hAnsiTheme="majorHAnsi" w:cstheme="majorBidi"/>
      <w:b/>
      <w:bCs/>
      <w:color w:val="4472C4" w:themeColor="accent1"/>
      <w:kern w:val="0"/>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yyp yin</dc:creator>
  <cp:keywords/>
  <dc:description/>
  <cp:lastModifiedBy>yyp yin</cp:lastModifiedBy>
  <cp:revision>4</cp:revision>
  <dcterms:created xsi:type="dcterms:W3CDTF">2024-07-21T08:28:00Z</dcterms:created>
  <dcterms:modified xsi:type="dcterms:W3CDTF">2024-07-21T08:29:00Z</dcterms:modified>
</cp:coreProperties>
</file>