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F7565" w14:textId="77777777" w:rsidR="0089776D" w:rsidRDefault="0089776D" w:rsidP="0089776D">
      <w:pPr>
        <w:pStyle w:val="1"/>
        <w:spacing w:after="20" w:line="572" w:lineRule="atLeast"/>
        <w:rPr>
          <w:lang w:eastAsia="zh-CN"/>
        </w:rPr>
      </w:pPr>
      <w:r>
        <w:rPr>
          <w:rFonts w:ascii="黑体" w:eastAsia="黑体" w:hAnsi="黑体"/>
          <w:b w:val="0"/>
          <w:color w:val="000000"/>
          <w:sz w:val="34"/>
          <w:lang w:eastAsia="zh-CN"/>
        </w:rPr>
        <w:t>1A423040</w:t>
      </w:r>
      <w:r>
        <w:rPr>
          <w:rFonts w:ascii="黑体" w:eastAsia="黑体" w:hAnsi="黑体"/>
          <w:b w:val="0"/>
          <w:color w:val="000000"/>
          <w:sz w:val="34"/>
          <w:lang w:eastAsia="zh-CN"/>
        </w:rPr>
        <w:tab/>
        <w:t>工程质量问题防治</w:t>
      </w:r>
    </w:p>
    <w:p w14:paraId="6EB75FB5" w14:textId="77777777" w:rsidR="0089776D" w:rsidRDefault="0089776D" w:rsidP="0089776D">
      <w:pPr>
        <w:pStyle w:val="1"/>
        <w:spacing w:after="20" w:line="572" w:lineRule="atLeast"/>
        <w:rPr>
          <w:lang w:eastAsia="zh-CN"/>
        </w:rPr>
      </w:pPr>
      <w:r>
        <w:rPr>
          <w:rFonts w:ascii="黑体" w:eastAsia="黑体" w:hAnsi="黑体"/>
          <w:b w:val="0"/>
          <w:color w:val="000000"/>
          <w:sz w:val="34"/>
          <w:lang w:eastAsia="zh-CN"/>
        </w:rPr>
        <w:t>1A423041量问题分类</w:t>
      </w:r>
    </w:p>
    <w:p w14:paraId="0BDF8F8E" w14:textId="77777777" w:rsidR="0089776D" w:rsidRDefault="0089776D" w:rsidP="0089776D">
      <w:pPr>
        <w:pStyle w:val="2"/>
        <w:spacing w:after="20" w:line="572" w:lineRule="atLeast"/>
        <w:ind w:firstLine="640"/>
        <w:rPr>
          <w:lang w:eastAsia="zh-CN"/>
        </w:rPr>
      </w:pPr>
      <w:r>
        <w:rPr>
          <w:rFonts w:ascii="黑体" w:eastAsia="黑体" w:hAnsi="黑体"/>
          <w:b w:val="0"/>
          <w:color w:val="000000"/>
          <w:sz w:val="34"/>
          <w:lang w:eastAsia="zh-CN"/>
        </w:rPr>
        <w:t>一、工程质量问题的分类</w:t>
      </w:r>
    </w:p>
    <w:p w14:paraId="1A92E42C"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1.工程质量缺陷</w:t>
      </w:r>
    </w:p>
    <w:p w14:paraId="10483E8F"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工程质量缺陷是指建筑工程施工质量中不符合规定要求的检验项或检验点，按其程度可分为严重缺陷和一般缺陷。严重缺陷是指对结构构件的受力性能、耐久性能或安装、使用功能有决定性影响的缺陷；一般缺陷是指对结构构件的受力性能、耐久性能或安装、使用功能无决定性影响的缺陷。</w:t>
      </w:r>
    </w:p>
    <w:p w14:paraId="3E94ADDF"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2.工程质量通病</w:t>
      </w:r>
    </w:p>
    <w:p w14:paraId="68DF0725"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工程质量通病是指各</w:t>
      </w:r>
      <w:proofErr w:type="gramStart"/>
      <w:r>
        <w:rPr>
          <w:rFonts w:ascii="仿宋_GB2312" w:eastAsia="仿宋_GB2312" w:hAnsi="仿宋_GB2312"/>
          <w:color w:val="000000"/>
          <w:sz w:val="32"/>
          <w:lang w:eastAsia="zh-CN"/>
        </w:rPr>
        <w:t>类影响</w:t>
      </w:r>
      <w:proofErr w:type="gramEnd"/>
      <w:r>
        <w:rPr>
          <w:rFonts w:ascii="仿宋_GB2312" w:eastAsia="仿宋_GB2312" w:hAnsi="仿宋_GB2312"/>
          <w:color w:val="000000"/>
          <w:sz w:val="32"/>
          <w:lang w:eastAsia="zh-CN"/>
        </w:rPr>
        <w:t>工程结构、使用功能和外形观感的常见性质量损伤。犹如“多发病”一样，故</w:t>
      </w:r>
      <w:proofErr w:type="gramStart"/>
      <w:r>
        <w:rPr>
          <w:rFonts w:ascii="仿宋_GB2312" w:eastAsia="仿宋_GB2312" w:hAnsi="仿宋_GB2312"/>
          <w:color w:val="000000"/>
          <w:sz w:val="32"/>
          <w:lang w:eastAsia="zh-CN"/>
        </w:rPr>
        <w:t>称质量</w:t>
      </w:r>
      <w:proofErr w:type="gramEnd"/>
      <w:r>
        <w:rPr>
          <w:rFonts w:ascii="仿宋_GB2312" w:eastAsia="仿宋_GB2312" w:hAnsi="仿宋_GB2312"/>
          <w:color w:val="000000"/>
          <w:sz w:val="32"/>
          <w:lang w:eastAsia="zh-CN"/>
        </w:rPr>
        <w:t>通病，例如结构表面不平整、局部漏浆、管线不顺直等。</w:t>
      </w:r>
    </w:p>
    <w:p w14:paraId="4F220D0D"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3.工程质量事故</w:t>
      </w:r>
    </w:p>
    <w:p w14:paraId="685B9A2A"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工程质量事故是指由于建设、勘察、设计、施工、监理等单位违反工程质量有关法律法规和工程建设标准，使工程产生结构安全、重要使用功能等方面的质量缺陷，造成人身伤亡或者重大经济损失的事故。</w:t>
      </w:r>
    </w:p>
    <w:p w14:paraId="1D36336C" w14:textId="77777777" w:rsidR="0089776D" w:rsidRDefault="0089776D" w:rsidP="0089776D">
      <w:pPr>
        <w:pStyle w:val="2"/>
        <w:spacing w:after="20" w:line="572" w:lineRule="atLeast"/>
        <w:ind w:firstLine="640"/>
        <w:rPr>
          <w:lang w:eastAsia="zh-CN"/>
        </w:rPr>
      </w:pPr>
      <w:r>
        <w:rPr>
          <w:rFonts w:ascii="黑体" w:eastAsia="黑体" w:hAnsi="黑体"/>
          <w:b w:val="0"/>
          <w:color w:val="000000"/>
          <w:sz w:val="34"/>
          <w:lang w:eastAsia="zh-CN"/>
        </w:rPr>
        <w:lastRenderedPageBreak/>
        <w:t>二、工程质量事故的分类</w:t>
      </w:r>
    </w:p>
    <w:p w14:paraId="435F7ADE"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依据住房和城乡建设部《关于做好房屋建筑和市政基础设施工程质量事故报告和调查处理工作的通知》（</w:t>
      </w:r>
      <w:proofErr w:type="gramStart"/>
      <w:r>
        <w:rPr>
          <w:rFonts w:ascii="仿宋_GB2312" w:eastAsia="仿宋_GB2312" w:hAnsi="仿宋_GB2312"/>
          <w:color w:val="000000"/>
          <w:sz w:val="32"/>
          <w:lang w:eastAsia="zh-CN"/>
        </w:rPr>
        <w:t>建质</w:t>
      </w:r>
      <w:proofErr w:type="gramEnd"/>
      <m:oMath>
        <m:r>
          <w:rPr>
            <w:rFonts w:ascii="Cambria Math" w:hAnsi="Cambria Math"/>
            <w:color w:val="000000"/>
            <w:lang w:eastAsia="zh-CN"/>
          </w:rPr>
          <m:t>[2010]111</m:t>
        </m:r>
      </m:oMath>
      <w:r>
        <w:rPr>
          <w:rFonts w:ascii="仿宋_GB2312" w:eastAsia="仿宋_GB2312" w:hAnsi="仿宋_GB2312"/>
          <w:color w:val="000000"/>
          <w:sz w:val="32"/>
          <w:lang w:eastAsia="zh-CN"/>
        </w:rPr>
        <w:t>号)文件要求，按工程质量事故造成的人员伤亡或者直接经济损失将工程质量事故分为四个等级：一般事故、较大事故、重大事故、特别重大事故，具体如下(“以上”包括本数，“以下”不包括本数)：</w:t>
      </w:r>
    </w:p>
    <w:p w14:paraId="40F97F2C"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(1)特别重大事故，是</w:t>
      </w:r>
      <w:proofErr w:type="gramStart"/>
      <w:r>
        <w:rPr>
          <w:rFonts w:ascii="仿宋_GB2312" w:eastAsia="仿宋_GB2312" w:hAnsi="仿宋_GB2312"/>
          <w:color w:val="000000"/>
          <w:sz w:val="32"/>
          <w:lang w:eastAsia="zh-CN"/>
        </w:rPr>
        <w:t>指造成</w:t>
      </w:r>
      <w:proofErr w:type="gramEnd"/>
      <w:r>
        <w:rPr>
          <w:rFonts w:ascii="仿宋_GB2312" w:eastAsia="仿宋_GB2312" w:hAnsi="仿宋_GB2312"/>
          <w:color w:val="000000"/>
          <w:sz w:val="32"/>
          <w:lang w:eastAsia="zh-CN"/>
        </w:rPr>
        <w:t>30人以上死亡，或者100人以上重伤，或者1亿元以上直接经济损失的事故；</w:t>
      </w:r>
    </w:p>
    <w:p w14:paraId="3E90A3BC"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(2)重大事故，是</w:t>
      </w:r>
      <w:proofErr w:type="gramStart"/>
      <w:r>
        <w:rPr>
          <w:rFonts w:ascii="仿宋_GB2312" w:eastAsia="仿宋_GB2312" w:hAnsi="仿宋_GB2312"/>
          <w:color w:val="000000"/>
          <w:sz w:val="32"/>
          <w:lang w:eastAsia="zh-CN"/>
        </w:rPr>
        <w:t>指造成</w:t>
      </w:r>
      <w:proofErr w:type="gramEnd"/>
      <w:r>
        <w:rPr>
          <w:rFonts w:ascii="仿宋_GB2312" w:eastAsia="仿宋_GB2312" w:hAnsi="仿宋_GB2312"/>
          <w:color w:val="000000"/>
          <w:sz w:val="32"/>
          <w:lang w:eastAsia="zh-CN"/>
        </w:rPr>
        <w:t>10人以上30人以下死亡，或者50人以上100人以下重伤，或者5000万元以上1亿元以下直接经济损失的事故；</w:t>
      </w:r>
    </w:p>
    <w:p w14:paraId="4DE63A96"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(3)较大事故，是</w:t>
      </w:r>
      <w:proofErr w:type="gramStart"/>
      <w:r>
        <w:rPr>
          <w:rFonts w:ascii="仿宋_GB2312" w:eastAsia="仿宋_GB2312" w:hAnsi="仿宋_GB2312"/>
          <w:color w:val="000000"/>
          <w:sz w:val="32"/>
          <w:lang w:eastAsia="zh-CN"/>
        </w:rPr>
        <w:t>指造成</w:t>
      </w:r>
      <w:proofErr w:type="gramEnd"/>
      <w:r>
        <w:rPr>
          <w:rFonts w:ascii="仿宋_GB2312" w:eastAsia="仿宋_GB2312" w:hAnsi="仿宋_GB2312"/>
          <w:color w:val="000000"/>
          <w:sz w:val="32"/>
          <w:lang w:eastAsia="zh-CN"/>
        </w:rPr>
        <w:t>3人以上10人以下死亡，或者10人以上50人以下重伤，或者1000万元以上5000万元以下直接经济损失的事故；</w:t>
      </w:r>
    </w:p>
    <w:p w14:paraId="14627DC9"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(4)一般事故，是</w:t>
      </w:r>
      <w:proofErr w:type="gramStart"/>
      <w:r>
        <w:rPr>
          <w:rFonts w:ascii="仿宋_GB2312" w:eastAsia="仿宋_GB2312" w:hAnsi="仿宋_GB2312"/>
          <w:color w:val="000000"/>
          <w:sz w:val="32"/>
          <w:lang w:eastAsia="zh-CN"/>
        </w:rPr>
        <w:t>指造成</w:t>
      </w:r>
      <w:proofErr w:type="gramEnd"/>
      <w:r>
        <w:rPr>
          <w:rFonts w:ascii="仿宋_GB2312" w:eastAsia="仿宋_GB2312" w:hAnsi="仿宋_GB2312"/>
          <w:color w:val="000000"/>
          <w:sz w:val="32"/>
          <w:lang w:eastAsia="zh-CN"/>
        </w:rPr>
        <w:t>3人以下死亡，或者10人以下重伤，或者100万元以上1000万元以下直接经济损失的事故。</w:t>
      </w:r>
    </w:p>
    <w:p w14:paraId="21805413" w14:textId="77777777" w:rsidR="0089776D" w:rsidRDefault="0089776D" w:rsidP="0089776D">
      <w:pPr>
        <w:pStyle w:val="2"/>
        <w:spacing w:after="20" w:line="572" w:lineRule="atLeast"/>
        <w:ind w:firstLine="640"/>
        <w:rPr>
          <w:lang w:eastAsia="zh-CN"/>
        </w:rPr>
      </w:pPr>
      <w:r>
        <w:rPr>
          <w:rFonts w:ascii="黑体" w:eastAsia="黑体" w:hAnsi="黑体"/>
          <w:b w:val="0"/>
          <w:color w:val="000000"/>
          <w:sz w:val="34"/>
          <w:lang w:eastAsia="zh-CN"/>
        </w:rPr>
        <w:lastRenderedPageBreak/>
        <w:t>三、工程质量问题常见的成因（不仅限于此内容）</w:t>
      </w:r>
    </w:p>
    <w:p w14:paraId="53261E64"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1.倾倒事故</w:t>
      </w:r>
    </w:p>
    <w:p w14:paraId="7868B2B9"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(1)由于地基不均匀沉降或受到较大的外力而造成的建筑物或构筑物倾斜或倒塌。</w:t>
      </w:r>
    </w:p>
    <w:p w14:paraId="639D5F96"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(2)在砌筑过程中没有按图纸或规范要求的施工工艺操作而造成的墙体失稳、倾倒的情形。</w:t>
      </w:r>
    </w:p>
    <w:p w14:paraId="2768EB6A"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(3)施工荷载超重支撑系统不足，造成楼盖或墙体局部倒塌的情形。</w:t>
      </w:r>
    </w:p>
    <w:p w14:paraId="7F1C06E3"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2.开裂事故</w:t>
      </w:r>
    </w:p>
    <w:p w14:paraId="71413A4F"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(1)由于施工措施、工艺不到位而造成混凝土构件表面或钢结构焊缝出现超过规范允许的裂缝。</w:t>
      </w:r>
    </w:p>
    <w:p w14:paraId="6E66CEAD"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(2)施工荷载过重、混凝土养护不及时、模板拆除过早造成混凝土构件表面出现超过规范允许的裂缝。</w:t>
      </w:r>
    </w:p>
    <w:p w14:paraId="7913A4ED"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(3)对混凝土原材料、外加剂和配合比使用不严谨，使出场的混凝土自身存在缺陷而形成的裂缝。</w:t>
      </w:r>
    </w:p>
    <w:p w14:paraId="01AB0F76"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(4)使用了和母材不匹配的焊接材料及与环境不对应的焊接参数和措施。</w:t>
      </w:r>
    </w:p>
    <w:p w14:paraId="1A7CE2FC"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3.错位事故</w:t>
      </w:r>
    </w:p>
    <w:p w14:paraId="441C8B1B"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(1)由于自身工作疏忽，造成建筑物定位放线不准确。</w:t>
      </w:r>
    </w:p>
    <w:p w14:paraId="16116613"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(2)设备基础预埋件、预留</w:t>
      </w:r>
      <w:proofErr w:type="gramStart"/>
      <w:r>
        <w:rPr>
          <w:rFonts w:ascii="仿宋_GB2312" w:eastAsia="仿宋_GB2312" w:hAnsi="仿宋_GB2312"/>
          <w:color w:val="000000"/>
          <w:sz w:val="32"/>
          <w:lang w:eastAsia="zh-CN"/>
        </w:rPr>
        <w:t>洞位置</w:t>
      </w:r>
      <w:proofErr w:type="gramEnd"/>
      <w:r>
        <w:rPr>
          <w:rFonts w:ascii="仿宋_GB2312" w:eastAsia="仿宋_GB2312" w:hAnsi="仿宋_GB2312"/>
          <w:color w:val="000000"/>
          <w:sz w:val="32"/>
          <w:lang w:eastAsia="zh-CN"/>
        </w:rPr>
        <w:t>不准确，严重偏位造成设备无法安装。</w:t>
      </w:r>
    </w:p>
    <w:p w14:paraId="3485A385"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lastRenderedPageBreak/>
        <w:t>(3)钢结构制作工艺不良，运输、堆放、安装方法不当，焊接定位不精确。</w:t>
      </w:r>
    </w:p>
    <w:p w14:paraId="05DEFD23"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(4)预留洞、预埋件位置错位。</w:t>
      </w:r>
    </w:p>
    <w:p w14:paraId="56A1D6B2"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4.边坡支护事故</w:t>
      </w:r>
    </w:p>
    <w:p w14:paraId="19B6403C"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(1)设计方案不合理、基坑降水措施不到位、土方开挖程序不合理等。</w:t>
      </w:r>
    </w:p>
    <w:p w14:paraId="7FCB01E7"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(2)边坡顶部</w:t>
      </w:r>
      <w:proofErr w:type="gramStart"/>
      <w:r>
        <w:rPr>
          <w:rFonts w:ascii="仿宋_GB2312" w:eastAsia="仿宋_GB2312" w:hAnsi="仿宋_GB2312"/>
          <w:color w:val="000000"/>
          <w:sz w:val="32"/>
          <w:lang w:eastAsia="zh-CN"/>
        </w:rPr>
        <w:t>堆载超过</w:t>
      </w:r>
      <w:proofErr w:type="gramEnd"/>
      <w:r>
        <w:rPr>
          <w:rFonts w:ascii="仿宋_GB2312" w:eastAsia="仿宋_GB2312" w:hAnsi="仿宋_GB2312"/>
          <w:color w:val="000000"/>
          <w:sz w:val="32"/>
          <w:lang w:eastAsia="zh-CN"/>
        </w:rPr>
        <w:t>设计要求，边坡锚杆深度不足或预应力张拉</w:t>
      </w:r>
      <w:proofErr w:type="gramStart"/>
      <w:r>
        <w:rPr>
          <w:rFonts w:ascii="仿宋_GB2312" w:eastAsia="仿宋_GB2312" w:hAnsi="仿宋_GB2312"/>
          <w:color w:val="000000"/>
          <w:sz w:val="32"/>
          <w:lang w:eastAsia="zh-CN"/>
        </w:rPr>
        <w:t>过早且</w:t>
      </w:r>
      <w:proofErr w:type="gramEnd"/>
      <w:r>
        <w:rPr>
          <w:rFonts w:ascii="仿宋_GB2312" w:eastAsia="仿宋_GB2312" w:hAnsi="仿宋_GB2312"/>
          <w:color w:val="000000"/>
          <w:sz w:val="32"/>
          <w:lang w:eastAsia="zh-CN"/>
        </w:rPr>
        <w:t>不到位，孔内水泥灌浆不饱满、边坡监测不到位等造成边坡塌陷。</w:t>
      </w:r>
    </w:p>
    <w:p w14:paraId="2A14FF65"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5.沉降事故</w:t>
      </w:r>
    </w:p>
    <w:p w14:paraId="02967E91"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(1)回填材料或施工质量不合格，未按规范规定分层夯实、检测，导致回填部位出现下沉。</w:t>
      </w:r>
    </w:p>
    <w:p w14:paraId="62822EFB"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(2)不均匀沉降造成的损害。</w:t>
      </w:r>
    </w:p>
    <w:p w14:paraId="375136C4"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6.功能事故</w:t>
      </w:r>
    </w:p>
    <w:p w14:paraId="41AED70B"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(1)防水工程</w:t>
      </w:r>
    </w:p>
    <w:p w14:paraId="6B7C92AA"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1)防水材料的质量未达到设计、规范的要求，在使用中出现严重渗漏。</w:t>
      </w:r>
    </w:p>
    <w:p w14:paraId="25138383"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2)防水工程交叉施工时成品保护不到位，材料等未按要求堆放导致防水层被破坏。</w:t>
      </w:r>
    </w:p>
    <w:p w14:paraId="78A906E3"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3)防水工程未按施工方案、工序、工艺要求进行施工，造成严重渗漏。</w:t>
      </w:r>
    </w:p>
    <w:p w14:paraId="077A2B8E"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lastRenderedPageBreak/>
        <w:t>(2)装饰工程</w:t>
      </w:r>
    </w:p>
    <w:p w14:paraId="74E58813"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1)保温、隔热、装饰等材料质量不合格或不符合节能环保的要求，从而影响使用功能。</w:t>
      </w:r>
    </w:p>
    <w:p w14:paraId="24A24886"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2)工程所使用的防火材料质量未达到设计、规范的防火等级标准。</w:t>
      </w:r>
    </w:p>
    <w:p w14:paraId="00C50DD5"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3)施工中未按方案、工序、工艺标准进行操作。</w:t>
      </w:r>
    </w:p>
    <w:p w14:paraId="22B04CFE"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7.安装事故</w:t>
      </w:r>
    </w:p>
    <w:p w14:paraId="608670FB"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(1)大型设备、管道在运输、吊装过程中方案不正确或未按方案执行，导致滑脱、坠落。</w:t>
      </w:r>
    </w:p>
    <w:p w14:paraId="20A9482E"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(2)大型设备、管道的支、托、吊架安装不牢固，所使用的型钢、锚栓，规格型号不符合要求，导致设备管道脱落变形，影响正常使用或形成安全隐患。</w:t>
      </w:r>
    </w:p>
    <w:p w14:paraId="1942D997"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(3</w:t>
      </w:r>
      <w:proofErr w:type="gramStart"/>
      <w:r>
        <w:rPr>
          <w:rFonts w:ascii="仿宋_GB2312" w:eastAsia="仿宋_GB2312" w:hAnsi="仿宋_GB2312"/>
          <w:color w:val="000000"/>
          <w:sz w:val="32"/>
          <w:lang w:eastAsia="zh-CN"/>
        </w:rPr>
        <w:t>)阀类</w:t>
      </w:r>
      <w:proofErr w:type="gramEnd"/>
      <w:r>
        <w:rPr>
          <w:rFonts w:ascii="仿宋_GB2312" w:eastAsia="仿宋_GB2312" w:hAnsi="仿宋_GB2312"/>
          <w:color w:val="000000"/>
          <w:sz w:val="32"/>
          <w:lang w:eastAsia="zh-CN"/>
        </w:rPr>
        <w:t>、压力容器等安装质量及承压能力不符合设计和规范要求。</w:t>
      </w:r>
    </w:p>
    <w:p w14:paraId="34A23745"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(4)由于安装的原因，导致系统运转不正常或者不能满足设计的要求。</w:t>
      </w:r>
    </w:p>
    <w:p w14:paraId="4E2F1B7F" w14:textId="77777777" w:rsidR="0089776D" w:rsidRDefault="0089776D" w:rsidP="0089776D">
      <w:pPr>
        <w:pStyle w:val="4"/>
        <w:spacing w:after="20" w:line="572" w:lineRule="atLeast"/>
        <w:ind w:firstLine="640"/>
        <w:rPr>
          <w:lang w:eastAsia="zh-CN"/>
        </w:rPr>
      </w:pPr>
      <w:r>
        <w:rPr>
          <w:rFonts w:ascii="黑体" w:eastAsia="黑体" w:hAnsi="黑体"/>
          <w:b w:val="0"/>
          <w:color w:val="000000"/>
          <w:sz w:val="34"/>
          <w:lang w:eastAsia="zh-CN"/>
        </w:rPr>
        <w:t>8.管理事故</w:t>
      </w:r>
    </w:p>
    <w:p w14:paraId="003EB148"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(1)分部分项工程施工安排顺序不当，造成质量问题和严重经济损失。</w:t>
      </w:r>
    </w:p>
    <w:p w14:paraId="0023B7FB"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(2)施工人员不熟悉图纸，盲目施工，致使构件或预埋件定位错误。</w:t>
      </w:r>
    </w:p>
    <w:p w14:paraId="7555BAB9"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lastRenderedPageBreak/>
        <w:t>(3)在施工过程中未严格按施工组织设计、方案和工序、工艺标准要求进行施工，造成经济损失。</w:t>
      </w:r>
    </w:p>
    <w:p w14:paraId="74E94FAA"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(4)对进场的材料、成品、半成品不按规定检查验收、存放、复试等，造成经济损失。</w:t>
      </w:r>
    </w:p>
    <w:p w14:paraId="35A22CD0" w14:textId="77777777" w:rsidR="0089776D" w:rsidRDefault="0089776D" w:rsidP="0089776D">
      <w:pPr>
        <w:spacing w:after="20" w:line="572" w:lineRule="atLeast"/>
        <w:ind w:firstLine="640"/>
        <w:jc w:val="both"/>
        <w:rPr>
          <w:lang w:eastAsia="zh-CN"/>
        </w:rPr>
      </w:pPr>
      <w:r>
        <w:rPr>
          <w:rFonts w:ascii="仿宋_GB2312" w:eastAsia="仿宋_GB2312" w:hAnsi="仿宋_GB2312"/>
          <w:color w:val="000000"/>
          <w:sz w:val="32"/>
          <w:lang w:eastAsia="zh-CN"/>
        </w:rPr>
        <w:t>(5)未</w:t>
      </w:r>
      <w:proofErr w:type="gramStart"/>
      <w:r>
        <w:rPr>
          <w:rFonts w:ascii="仿宋_GB2312" w:eastAsia="仿宋_GB2312" w:hAnsi="仿宋_GB2312"/>
          <w:color w:val="000000"/>
          <w:sz w:val="32"/>
          <w:lang w:eastAsia="zh-CN"/>
        </w:rPr>
        <w:t>尽到总</w:t>
      </w:r>
      <w:proofErr w:type="gramEnd"/>
      <w:r>
        <w:rPr>
          <w:rFonts w:ascii="仿宋_GB2312" w:eastAsia="仿宋_GB2312" w:hAnsi="仿宋_GB2312"/>
          <w:color w:val="000000"/>
          <w:sz w:val="32"/>
          <w:lang w:eastAsia="zh-CN"/>
        </w:rPr>
        <w:t>包责任，导致现场出现管理混乱，进而造成一定的经济损失。</w:t>
      </w:r>
    </w:p>
    <w:p w14:paraId="4F694C0B" w14:textId="77777777" w:rsidR="00267FC0" w:rsidRDefault="00267FC0">
      <w:pPr>
        <w:rPr>
          <w:lang w:eastAsia="zh-CN"/>
        </w:rPr>
      </w:pPr>
    </w:p>
    <w:sectPr w:rsidR="00267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29D6D" w14:textId="77777777" w:rsidR="00D466B6" w:rsidRDefault="00D466B6" w:rsidP="0089776D">
      <w:pPr>
        <w:spacing w:after="0" w:line="240" w:lineRule="auto"/>
      </w:pPr>
      <w:r>
        <w:separator/>
      </w:r>
    </w:p>
  </w:endnote>
  <w:endnote w:type="continuationSeparator" w:id="0">
    <w:p w14:paraId="0939E3E1" w14:textId="77777777" w:rsidR="00D466B6" w:rsidRDefault="00D466B6" w:rsidP="0089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A5833" w14:textId="77777777" w:rsidR="00D466B6" w:rsidRDefault="00D466B6" w:rsidP="0089776D">
      <w:pPr>
        <w:spacing w:after="0" w:line="240" w:lineRule="auto"/>
      </w:pPr>
      <w:r>
        <w:separator/>
      </w:r>
    </w:p>
  </w:footnote>
  <w:footnote w:type="continuationSeparator" w:id="0">
    <w:p w14:paraId="3A7E58F6" w14:textId="77777777" w:rsidR="00D466B6" w:rsidRDefault="00D466B6" w:rsidP="00897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3B"/>
    <w:rsid w:val="00002AB5"/>
    <w:rsid w:val="00022042"/>
    <w:rsid w:val="0002777F"/>
    <w:rsid w:val="000537D7"/>
    <w:rsid w:val="00083791"/>
    <w:rsid w:val="000859D3"/>
    <w:rsid w:val="000A1DF6"/>
    <w:rsid w:val="000A59AD"/>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864C9"/>
    <w:rsid w:val="003D0207"/>
    <w:rsid w:val="00416658"/>
    <w:rsid w:val="00434572"/>
    <w:rsid w:val="0043590D"/>
    <w:rsid w:val="004443C0"/>
    <w:rsid w:val="004B4459"/>
    <w:rsid w:val="004F1EC9"/>
    <w:rsid w:val="00506452"/>
    <w:rsid w:val="00557DB5"/>
    <w:rsid w:val="005841BD"/>
    <w:rsid w:val="005B1C13"/>
    <w:rsid w:val="005E4BF1"/>
    <w:rsid w:val="006153A1"/>
    <w:rsid w:val="00661983"/>
    <w:rsid w:val="00684023"/>
    <w:rsid w:val="006F29CF"/>
    <w:rsid w:val="006F6A05"/>
    <w:rsid w:val="006F7A4A"/>
    <w:rsid w:val="0074184E"/>
    <w:rsid w:val="00793DF0"/>
    <w:rsid w:val="007E2A54"/>
    <w:rsid w:val="007E51E9"/>
    <w:rsid w:val="007F5BE8"/>
    <w:rsid w:val="008033E8"/>
    <w:rsid w:val="008135FD"/>
    <w:rsid w:val="00830953"/>
    <w:rsid w:val="008634A8"/>
    <w:rsid w:val="0087485E"/>
    <w:rsid w:val="0089776D"/>
    <w:rsid w:val="009072DA"/>
    <w:rsid w:val="00960215"/>
    <w:rsid w:val="00963BC5"/>
    <w:rsid w:val="0096613B"/>
    <w:rsid w:val="00970F58"/>
    <w:rsid w:val="00981D04"/>
    <w:rsid w:val="009C2052"/>
    <w:rsid w:val="009C6722"/>
    <w:rsid w:val="009E47AF"/>
    <w:rsid w:val="009F6192"/>
    <w:rsid w:val="00A63317"/>
    <w:rsid w:val="00AB49F0"/>
    <w:rsid w:val="00AE19A3"/>
    <w:rsid w:val="00B4477E"/>
    <w:rsid w:val="00BC319A"/>
    <w:rsid w:val="00C14029"/>
    <w:rsid w:val="00C439B4"/>
    <w:rsid w:val="00C9654E"/>
    <w:rsid w:val="00CA7064"/>
    <w:rsid w:val="00D066B5"/>
    <w:rsid w:val="00D3366E"/>
    <w:rsid w:val="00D4092C"/>
    <w:rsid w:val="00D466B6"/>
    <w:rsid w:val="00D9039C"/>
    <w:rsid w:val="00DD1DF4"/>
    <w:rsid w:val="00DF2CD7"/>
    <w:rsid w:val="00E04F93"/>
    <w:rsid w:val="00E11D63"/>
    <w:rsid w:val="00E14300"/>
    <w:rsid w:val="00E21943"/>
    <w:rsid w:val="00E86FC1"/>
    <w:rsid w:val="00EC4E65"/>
    <w:rsid w:val="00F0694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BC27083-8D6B-42EA-B3E9-13DEF80D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76D"/>
    <w:pPr>
      <w:spacing w:after="200" w:line="276" w:lineRule="auto"/>
    </w:pPr>
    <w:rPr>
      <w:rFonts w:asciiTheme="minorHAnsi" w:eastAsiaTheme="minorEastAsia" w:hAnsiTheme="minorHAnsi"/>
      <w:kern w:val="0"/>
      <w:sz w:val="22"/>
      <w:lang w:eastAsia="en-US"/>
    </w:rPr>
  </w:style>
  <w:style w:type="paragraph" w:styleId="1">
    <w:name w:val="heading 1"/>
    <w:basedOn w:val="a"/>
    <w:next w:val="a"/>
    <w:link w:val="10"/>
    <w:uiPriority w:val="9"/>
    <w:qFormat/>
    <w:rsid w:val="008977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9776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uiPriority w:val="9"/>
    <w:semiHidden/>
    <w:unhideWhenUsed/>
    <w:qFormat/>
    <w:rsid w:val="0089776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76D"/>
    <w:pPr>
      <w:widowControl w:val="0"/>
      <w:tabs>
        <w:tab w:val="center" w:pos="4153"/>
        <w:tab w:val="right" w:pos="8306"/>
      </w:tabs>
      <w:snapToGrid w:val="0"/>
      <w:spacing w:after="0" w:line="240" w:lineRule="auto"/>
      <w:jc w:val="center"/>
    </w:pPr>
    <w:rPr>
      <w:rFonts w:ascii="宋体" w:eastAsia="宋体" w:hAnsi="宋体"/>
      <w:kern w:val="2"/>
      <w:sz w:val="18"/>
      <w:szCs w:val="18"/>
      <w:lang w:eastAsia="zh-CN"/>
    </w:rPr>
  </w:style>
  <w:style w:type="character" w:customStyle="1" w:styleId="a4">
    <w:name w:val="页眉 字符"/>
    <w:basedOn w:val="a0"/>
    <w:link w:val="a3"/>
    <w:uiPriority w:val="99"/>
    <w:rsid w:val="0089776D"/>
    <w:rPr>
      <w:sz w:val="18"/>
      <w:szCs w:val="18"/>
    </w:rPr>
  </w:style>
  <w:style w:type="paragraph" w:styleId="a5">
    <w:name w:val="footer"/>
    <w:basedOn w:val="a"/>
    <w:link w:val="a6"/>
    <w:uiPriority w:val="99"/>
    <w:unhideWhenUsed/>
    <w:rsid w:val="0089776D"/>
    <w:pPr>
      <w:widowControl w:val="0"/>
      <w:tabs>
        <w:tab w:val="center" w:pos="4153"/>
        <w:tab w:val="right" w:pos="8306"/>
      </w:tabs>
      <w:snapToGrid w:val="0"/>
      <w:spacing w:after="0" w:line="240" w:lineRule="auto"/>
    </w:pPr>
    <w:rPr>
      <w:rFonts w:ascii="宋体" w:eastAsia="宋体" w:hAnsi="宋体"/>
      <w:kern w:val="2"/>
      <w:sz w:val="18"/>
      <w:szCs w:val="18"/>
      <w:lang w:eastAsia="zh-CN"/>
    </w:rPr>
  </w:style>
  <w:style w:type="character" w:customStyle="1" w:styleId="a6">
    <w:name w:val="页脚 字符"/>
    <w:basedOn w:val="a0"/>
    <w:link w:val="a5"/>
    <w:uiPriority w:val="99"/>
    <w:rsid w:val="0089776D"/>
    <w:rPr>
      <w:sz w:val="18"/>
      <w:szCs w:val="18"/>
    </w:rPr>
  </w:style>
  <w:style w:type="character" w:customStyle="1" w:styleId="10">
    <w:name w:val="标题 1 字符"/>
    <w:basedOn w:val="a0"/>
    <w:link w:val="1"/>
    <w:uiPriority w:val="9"/>
    <w:rsid w:val="0089776D"/>
    <w:rPr>
      <w:rFonts w:asciiTheme="majorHAnsi" w:eastAsiaTheme="majorEastAsia" w:hAnsiTheme="majorHAnsi" w:cstheme="majorBidi"/>
      <w:b/>
      <w:bCs/>
      <w:color w:val="2F5496" w:themeColor="accent1" w:themeShade="BF"/>
      <w:kern w:val="0"/>
      <w:sz w:val="28"/>
      <w:szCs w:val="28"/>
      <w:lang w:eastAsia="en-US"/>
    </w:rPr>
  </w:style>
  <w:style w:type="character" w:customStyle="1" w:styleId="20">
    <w:name w:val="标题 2 字符"/>
    <w:basedOn w:val="a0"/>
    <w:link w:val="2"/>
    <w:uiPriority w:val="9"/>
    <w:rsid w:val="0089776D"/>
    <w:rPr>
      <w:rFonts w:asciiTheme="majorHAnsi" w:eastAsiaTheme="majorEastAsia" w:hAnsiTheme="majorHAnsi" w:cstheme="majorBidi"/>
      <w:b/>
      <w:bCs/>
      <w:color w:val="4472C4" w:themeColor="accent1"/>
      <w:kern w:val="0"/>
      <w:sz w:val="26"/>
      <w:szCs w:val="26"/>
      <w:lang w:eastAsia="en-US"/>
    </w:rPr>
  </w:style>
  <w:style w:type="character" w:customStyle="1" w:styleId="40">
    <w:name w:val="标题 4 字符"/>
    <w:basedOn w:val="a0"/>
    <w:link w:val="4"/>
    <w:uiPriority w:val="9"/>
    <w:semiHidden/>
    <w:rsid w:val="0089776D"/>
    <w:rPr>
      <w:rFonts w:asciiTheme="majorHAnsi" w:eastAsiaTheme="majorEastAsia" w:hAnsiTheme="majorHAnsi" w:cstheme="majorBidi"/>
      <w:b/>
      <w:bCs/>
      <w:i/>
      <w:iCs/>
      <w:color w:val="4472C4" w:themeColor="accent1"/>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2</cp:revision>
  <dcterms:created xsi:type="dcterms:W3CDTF">2024-07-21T08:45:00Z</dcterms:created>
  <dcterms:modified xsi:type="dcterms:W3CDTF">2024-07-21T08:45:00Z</dcterms:modified>
</cp:coreProperties>
</file>