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A2B3E" w14:textId="77777777" w:rsidR="00FE6B8F" w:rsidRDefault="00FE6B8F" w:rsidP="00FE6B8F">
      <w:pPr>
        <w:jc w:val="center"/>
        <w:rPr>
          <w:b/>
          <w:bCs/>
          <w:sz w:val="36"/>
        </w:rPr>
      </w:pPr>
      <w:r>
        <w:rPr>
          <w:rFonts w:hint="eastAsia"/>
          <w:b/>
          <w:bCs/>
          <w:sz w:val="36"/>
        </w:rPr>
        <w:t>水性（溶剂性）涂料涂饰施工工艺标准</w:t>
      </w:r>
    </w:p>
    <w:p w14:paraId="29F9EBD3" w14:textId="77777777" w:rsidR="00FE6B8F" w:rsidRDefault="00FE6B8F" w:rsidP="00FE6B8F">
      <w:pPr>
        <w:pStyle w:val="3"/>
        <w:rPr>
          <w:sz w:val="28"/>
        </w:rPr>
      </w:pPr>
      <w:r>
        <w:rPr>
          <w:rFonts w:hint="eastAsia"/>
          <w:sz w:val="28"/>
        </w:rPr>
        <w:t>XDQB2002-010</w:t>
      </w:r>
    </w:p>
    <w:p w14:paraId="73D8D2B1" w14:textId="77777777" w:rsidR="00FE6B8F" w:rsidRDefault="00FE6B8F" w:rsidP="00FE6B8F">
      <w:pPr>
        <w:ind w:firstLineChars="200" w:firstLine="562"/>
        <w:rPr>
          <w:b/>
          <w:bCs/>
          <w:sz w:val="28"/>
        </w:rPr>
      </w:pPr>
      <w:r>
        <w:rPr>
          <w:rFonts w:hint="eastAsia"/>
          <w:b/>
          <w:bCs/>
          <w:sz w:val="28"/>
        </w:rPr>
        <w:t>一、工艺流程：</w:t>
      </w:r>
    </w:p>
    <w:p w14:paraId="6017D6B8" w14:textId="77777777" w:rsidR="00FE6B8F" w:rsidRDefault="00FE6B8F" w:rsidP="00FE6B8F">
      <w:pPr>
        <w:ind w:firstLineChars="200" w:firstLine="560"/>
        <w:rPr>
          <w:sz w:val="28"/>
        </w:rPr>
      </w:pPr>
      <w:r>
        <w:rPr>
          <w:rFonts w:hint="eastAsia"/>
          <w:sz w:val="28"/>
        </w:rPr>
        <w:t>清扫→补缝隙→满刮腻子→磨平→</w:t>
      </w:r>
      <w:proofErr w:type="gramStart"/>
      <w:r>
        <w:rPr>
          <w:rFonts w:hint="eastAsia"/>
          <w:sz w:val="28"/>
        </w:rPr>
        <w:t>刷底封闭</w:t>
      </w:r>
      <w:proofErr w:type="gramEnd"/>
      <w:r>
        <w:rPr>
          <w:rFonts w:hint="eastAsia"/>
          <w:sz w:val="28"/>
        </w:rPr>
        <w:t>→打磨→第一遍涂（喷）刷→第二遍涂（喷）刷→直至验收合格。</w:t>
      </w:r>
    </w:p>
    <w:p w14:paraId="0D954BF4" w14:textId="77777777" w:rsidR="00FE6B8F" w:rsidRDefault="00FE6B8F" w:rsidP="00FE6B8F">
      <w:pPr>
        <w:ind w:firstLineChars="200" w:firstLine="562"/>
        <w:rPr>
          <w:b/>
          <w:bCs/>
          <w:sz w:val="28"/>
        </w:rPr>
      </w:pPr>
      <w:r>
        <w:rPr>
          <w:rFonts w:hint="eastAsia"/>
          <w:b/>
          <w:bCs/>
          <w:sz w:val="28"/>
        </w:rPr>
        <w:t>二、操作要求：</w:t>
      </w:r>
    </w:p>
    <w:p w14:paraId="338F93D4" w14:textId="77777777" w:rsidR="00FE6B8F" w:rsidRDefault="00FE6B8F" w:rsidP="00FE6B8F">
      <w:pPr>
        <w:ind w:firstLineChars="200" w:firstLine="560"/>
        <w:rPr>
          <w:sz w:val="28"/>
        </w:rPr>
      </w:pPr>
      <w:r>
        <w:rPr>
          <w:sz w:val="28"/>
        </w:rPr>
        <w:t>1</w:t>
      </w:r>
      <w:r>
        <w:rPr>
          <w:rFonts w:hint="eastAsia"/>
          <w:sz w:val="28"/>
        </w:rPr>
        <w:t>、油漆、涂料工程的等级和产品的品种应符合设计要求和现行国家有关标准的规定。</w:t>
      </w:r>
    </w:p>
    <w:p w14:paraId="2626EABC" w14:textId="77777777" w:rsidR="00FE6B8F" w:rsidRDefault="00FE6B8F" w:rsidP="00FE6B8F">
      <w:pPr>
        <w:ind w:firstLineChars="200" w:firstLine="560"/>
        <w:rPr>
          <w:sz w:val="28"/>
        </w:rPr>
      </w:pPr>
      <w:r>
        <w:rPr>
          <w:sz w:val="28"/>
        </w:rPr>
        <w:t>2</w:t>
      </w:r>
      <w:r>
        <w:rPr>
          <w:rFonts w:hint="eastAsia"/>
          <w:sz w:val="28"/>
        </w:rPr>
        <w:t>、油漆、涂料进场应有产品质量证明文件（合格证），应使用行业推荐的产品和环保型产品。</w:t>
      </w:r>
    </w:p>
    <w:p w14:paraId="3E07E30C" w14:textId="77777777" w:rsidR="00FE6B8F" w:rsidRDefault="00FE6B8F" w:rsidP="00FE6B8F">
      <w:pPr>
        <w:ind w:firstLineChars="200" w:firstLine="560"/>
        <w:rPr>
          <w:sz w:val="28"/>
        </w:rPr>
      </w:pPr>
      <w:r>
        <w:rPr>
          <w:sz w:val="28"/>
        </w:rPr>
        <w:t>3</w:t>
      </w:r>
      <w:r>
        <w:rPr>
          <w:rFonts w:hint="eastAsia"/>
          <w:sz w:val="28"/>
        </w:rPr>
        <w:t>、油漆、涂料工程的基体或基层的含水率：混凝土和抹灰</w:t>
      </w:r>
      <w:proofErr w:type="gramStart"/>
      <w:r>
        <w:rPr>
          <w:rFonts w:hint="eastAsia"/>
          <w:sz w:val="28"/>
        </w:rPr>
        <w:t>表面施涂溶剂</w:t>
      </w:r>
      <w:proofErr w:type="gramEnd"/>
      <w:r>
        <w:rPr>
          <w:rFonts w:hint="eastAsia"/>
          <w:sz w:val="28"/>
        </w:rPr>
        <w:t>型油漆涂料时，含水率不得大于</w:t>
      </w:r>
      <w:r>
        <w:rPr>
          <w:rFonts w:hint="eastAsia"/>
          <w:sz w:val="28"/>
        </w:rPr>
        <w:t>8</w:t>
      </w:r>
      <w:r>
        <w:rPr>
          <w:rFonts w:hint="eastAsia"/>
          <w:sz w:val="28"/>
        </w:rPr>
        <w:t>％；</w:t>
      </w:r>
      <w:proofErr w:type="gramStart"/>
      <w:r>
        <w:rPr>
          <w:rFonts w:hint="eastAsia"/>
          <w:sz w:val="28"/>
        </w:rPr>
        <w:t>施涂水性</w:t>
      </w:r>
      <w:proofErr w:type="gramEnd"/>
      <w:r>
        <w:rPr>
          <w:rFonts w:hint="eastAsia"/>
          <w:sz w:val="28"/>
        </w:rPr>
        <w:t>和乳液涂料时，含水率不得大于</w:t>
      </w:r>
      <w:r>
        <w:rPr>
          <w:rFonts w:hint="eastAsia"/>
          <w:sz w:val="28"/>
        </w:rPr>
        <w:t>10</w:t>
      </w:r>
      <w:r>
        <w:rPr>
          <w:rFonts w:hint="eastAsia"/>
          <w:sz w:val="28"/>
        </w:rPr>
        <w:t>％；木材制品含水率不得大于</w:t>
      </w:r>
      <w:r>
        <w:rPr>
          <w:rFonts w:hint="eastAsia"/>
          <w:sz w:val="28"/>
        </w:rPr>
        <w:t>12</w:t>
      </w:r>
      <w:r>
        <w:rPr>
          <w:rFonts w:hint="eastAsia"/>
          <w:sz w:val="28"/>
        </w:rPr>
        <w:t>％。</w:t>
      </w:r>
    </w:p>
    <w:p w14:paraId="4F9E1867" w14:textId="77777777" w:rsidR="00FE6B8F" w:rsidRDefault="00FE6B8F" w:rsidP="00FE6B8F">
      <w:pPr>
        <w:ind w:firstLineChars="200" w:firstLine="560"/>
        <w:rPr>
          <w:sz w:val="28"/>
        </w:rPr>
      </w:pPr>
      <w:r>
        <w:rPr>
          <w:sz w:val="28"/>
        </w:rPr>
        <w:t>4</w:t>
      </w:r>
      <w:r>
        <w:rPr>
          <w:rFonts w:hint="eastAsia"/>
          <w:sz w:val="28"/>
        </w:rPr>
        <w:t>、油漆、涂料干燥前，应防止雨淋、尘土玷污和热空气的侵袭。</w:t>
      </w:r>
    </w:p>
    <w:p w14:paraId="7F1B0779" w14:textId="77777777" w:rsidR="00FE6B8F" w:rsidRDefault="00FE6B8F" w:rsidP="00FE6B8F">
      <w:pPr>
        <w:ind w:firstLineChars="200" w:firstLine="560"/>
        <w:rPr>
          <w:sz w:val="28"/>
        </w:rPr>
      </w:pPr>
      <w:r>
        <w:rPr>
          <w:sz w:val="28"/>
        </w:rPr>
        <w:t>5</w:t>
      </w:r>
      <w:r>
        <w:rPr>
          <w:rFonts w:hint="eastAsia"/>
          <w:sz w:val="28"/>
        </w:rPr>
        <w:t>、油漆、涂料工程使用的腻子，应坚实牢固，不得粉化、起皮和裂纹。腻子干燥后应打磨平整光滑，并清理干净。外墙、厨房、浴室及侧所等需要使用油漆、涂料的部位，应使用具有耐水性能的腻子。</w:t>
      </w:r>
    </w:p>
    <w:p w14:paraId="4AFAA7EA" w14:textId="77777777" w:rsidR="00FE6B8F" w:rsidRDefault="00FE6B8F" w:rsidP="00FE6B8F">
      <w:pPr>
        <w:ind w:firstLineChars="200" w:firstLine="560"/>
        <w:rPr>
          <w:sz w:val="28"/>
        </w:rPr>
      </w:pPr>
      <w:r>
        <w:rPr>
          <w:sz w:val="28"/>
        </w:rPr>
        <w:t>6</w:t>
      </w:r>
      <w:r>
        <w:rPr>
          <w:rFonts w:hint="eastAsia"/>
          <w:sz w:val="28"/>
        </w:rPr>
        <w:t>、油漆、涂料的工作粘度或稠度必须加以控制，使其</w:t>
      </w:r>
      <w:proofErr w:type="gramStart"/>
      <w:r>
        <w:rPr>
          <w:rFonts w:hint="eastAsia"/>
          <w:sz w:val="28"/>
        </w:rPr>
        <w:t>在施涂时</w:t>
      </w:r>
      <w:proofErr w:type="gramEnd"/>
      <w:r>
        <w:rPr>
          <w:rFonts w:hint="eastAsia"/>
          <w:sz w:val="28"/>
        </w:rPr>
        <w:t>不流坠、不显刷纹，</w:t>
      </w:r>
      <w:proofErr w:type="gramStart"/>
      <w:r>
        <w:rPr>
          <w:rFonts w:hint="eastAsia"/>
          <w:sz w:val="28"/>
        </w:rPr>
        <w:t>施涂过程</w:t>
      </w:r>
      <w:proofErr w:type="gramEnd"/>
      <w:r>
        <w:rPr>
          <w:rFonts w:hint="eastAsia"/>
          <w:sz w:val="28"/>
        </w:rPr>
        <w:t>中不得任意稀释。</w:t>
      </w:r>
    </w:p>
    <w:p w14:paraId="0D0898B3" w14:textId="77777777" w:rsidR="00FE6B8F" w:rsidRDefault="00FE6B8F" w:rsidP="00FE6B8F">
      <w:pPr>
        <w:ind w:firstLineChars="200" w:firstLine="560"/>
        <w:rPr>
          <w:sz w:val="28"/>
        </w:rPr>
      </w:pPr>
      <w:r>
        <w:rPr>
          <w:sz w:val="28"/>
        </w:rPr>
        <w:t>7</w:t>
      </w:r>
      <w:r>
        <w:rPr>
          <w:rFonts w:hint="eastAsia"/>
          <w:sz w:val="28"/>
        </w:rPr>
        <w:t>、双组份或多组份油漆、涂料</w:t>
      </w:r>
      <w:proofErr w:type="gramStart"/>
      <w:r>
        <w:rPr>
          <w:rFonts w:hint="eastAsia"/>
          <w:sz w:val="28"/>
        </w:rPr>
        <w:t>在施涂前</w:t>
      </w:r>
      <w:proofErr w:type="gramEnd"/>
      <w:r>
        <w:rPr>
          <w:rFonts w:hint="eastAsia"/>
          <w:sz w:val="28"/>
        </w:rPr>
        <w:t>，应按产品说明规定的配合</w:t>
      </w:r>
      <w:proofErr w:type="gramStart"/>
      <w:r>
        <w:rPr>
          <w:rFonts w:hint="eastAsia"/>
          <w:sz w:val="28"/>
        </w:rPr>
        <w:t>比根据</w:t>
      </w:r>
      <w:proofErr w:type="gramEnd"/>
      <w:r>
        <w:rPr>
          <w:rFonts w:hint="eastAsia"/>
          <w:sz w:val="28"/>
        </w:rPr>
        <w:t>使用情况分批混合，并在规定的时间内用完。所有油漆、涂料</w:t>
      </w:r>
      <w:proofErr w:type="gramStart"/>
      <w:r>
        <w:rPr>
          <w:rFonts w:hint="eastAsia"/>
          <w:sz w:val="28"/>
        </w:rPr>
        <w:t>在施涂前</w:t>
      </w:r>
      <w:proofErr w:type="gramEnd"/>
      <w:r>
        <w:rPr>
          <w:rFonts w:hint="eastAsia"/>
          <w:sz w:val="28"/>
        </w:rPr>
        <w:t>和</w:t>
      </w:r>
      <w:proofErr w:type="gramStart"/>
      <w:r>
        <w:rPr>
          <w:rFonts w:hint="eastAsia"/>
          <w:sz w:val="28"/>
        </w:rPr>
        <w:t>施涂过程</w:t>
      </w:r>
      <w:proofErr w:type="gramEnd"/>
      <w:r>
        <w:rPr>
          <w:rFonts w:hint="eastAsia"/>
          <w:sz w:val="28"/>
        </w:rPr>
        <w:t>中均应充分搅拌。</w:t>
      </w:r>
    </w:p>
    <w:p w14:paraId="1DD6B298" w14:textId="77777777" w:rsidR="00FE6B8F" w:rsidRDefault="00FE6B8F" w:rsidP="00FE6B8F">
      <w:pPr>
        <w:ind w:firstLineChars="200" w:firstLine="560"/>
        <w:rPr>
          <w:sz w:val="28"/>
        </w:rPr>
      </w:pPr>
      <w:r>
        <w:rPr>
          <w:sz w:val="28"/>
        </w:rPr>
        <w:lastRenderedPageBreak/>
        <w:t>8</w:t>
      </w:r>
      <w:r>
        <w:rPr>
          <w:rFonts w:hint="eastAsia"/>
          <w:sz w:val="28"/>
        </w:rPr>
        <w:t>、建筑物中的细木制品、金属构件和制品，如为工厂制作组装，其油漆宜在生产制作阶段进行，最后一遍油漆则在安装后进行；如为现场制作组装，组装前应先刷一遍底子油（干性油、防锈漆），安装后再刷面漆。</w:t>
      </w:r>
    </w:p>
    <w:p w14:paraId="508E2119" w14:textId="77777777" w:rsidR="00FE6B8F" w:rsidRDefault="00FE6B8F" w:rsidP="00FE6B8F">
      <w:pPr>
        <w:ind w:firstLineChars="200" w:firstLine="560"/>
        <w:rPr>
          <w:sz w:val="28"/>
        </w:rPr>
      </w:pPr>
      <w:r>
        <w:rPr>
          <w:sz w:val="28"/>
        </w:rPr>
        <w:t>9</w:t>
      </w:r>
      <w:r>
        <w:rPr>
          <w:rFonts w:hint="eastAsia"/>
          <w:sz w:val="28"/>
        </w:rPr>
        <w:t>、采用机械喷涂油漆时，应将不喷涂的部位遮盖，以防玷污。</w:t>
      </w:r>
    </w:p>
    <w:p w14:paraId="7798988A" w14:textId="77777777" w:rsidR="00FE6B8F" w:rsidRDefault="00FE6B8F" w:rsidP="00FE6B8F">
      <w:pPr>
        <w:ind w:firstLineChars="200" w:firstLine="560"/>
        <w:rPr>
          <w:sz w:val="28"/>
        </w:rPr>
      </w:pPr>
      <w:r>
        <w:rPr>
          <w:sz w:val="28"/>
        </w:rPr>
        <w:t>10</w:t>
      </w:r>
      <w:r>
        <w:rPr>
          <w:rFonts w:hint="eastAsia"/>
          <w:sz w:val="28"/>
        </w:rPr>
        <w:t>、成品材料或半成品（包括</w:t>
      </w:r>
      <w:proofErr w:type="gramStart"/>
      <w:r>
        <w:rPr>
          <w:rFonts w:hint="eastAsia"/>
          <w:sz w:val="28"/>
        </w:rPr>
        <w:t>施涂现场</w:t>
      </w:r>
      <w:proofErr w:type="gramEnd"/>
      <w:r>
        <w:rPr>
          <w:rFonts w:hint="eastAsia"/>
          <w:sz w:val="28"/>
        </w:rPr>
        <w:t>配制的）均应有品名、种类、颜色、制作时间、有效期和使用说明。</w:t>
      </w:r>
    </w:p>
    <w:p w14:paraId="3420EBE2" w14:textId="77777777" w:rsidR="00FE6B8F" w:rsidRDefault="00FE6B8F" w:rsidP="00FE6B8F">
      <w:pPr>
        <w:ind w:firstLineChars="200" w:firstLine="560"/>
        <w:rPr>
          <w:sz w:val="28"/>
        </w:rPr>
      </w:pPr>
      <w:r>
        <w:rPr>
          <w:sz w:val="28"/>
        </w:rPr>
        <w:t>11</w:t>
      </w:r>
      <w:r>
        <w:rPr>
          <w:rFonts w:hint="eastAsia"/>
          <w:sz w:val="28"/>
        </w:rPr>
        <w:t>、外墙涂料应使用具有耐碱和耐光性能的颜料，腻子的配合比应符合国家标准的规定。</w:t>
      </w:r>
    </w:p>
    <w:p w14:paraId="6E05F96B" w14:textId="77777777" w:rsidR="00FE6B8F" w:rsidRDefault="00FE6B8F" w:rsidP="00FE6B8F">
      <w:pPr>
        <w:ind w:firstLineChars="200" w:firstLine="560"/>
        <w:rPr>
          <w:sz w:val="28"/>
        </w:rPr>
      </w:pPr>
      <w:r>
        <w:rPr>
          <w:sz w:val="28"/>
        </w:rPr>
        <w:t>12</w:t>
      </w:r>
      <w:r>
        <w:rPr>
          <w:rFonts w:hint="eastAsia"/>
          <w:sz w:val="28"/>
        </w:rPr>
        <w:t>、外墙涂料工程分段进行时，应以分格缝、墙的阴角处或水落管等为分界线，同一墙面应用同一批号的涂料。</w:t>
      </w:r>
    </w:p>
    <w:p w14:paraId="763E602D" w14:textId="77777777" w:rsidR="00FE6B8F" w:rsidRDefault="00FE6B8F" w:rsidP="00FE6B8F">
      <w:pPr>
        <w:ind w:firstLineChars="200" w:firstLine="560"/>
        <w:rPr>
          <w:sz w:val="28"/>
        </w:rPr>
      </w:pPr>
      <w:r>
        <w:rPr>
          <w:sz w:val="28"/>
        </w:rPr>
        <w:t>14</w:t>
      </w:r>
      <w:r>
        <w:rPr>
          <w:rFonts w:hint="eastAsia"/>
          <w:sz w:val="28"/>
        </w:rPr>
        <w:t>、另外特别要注意：门窗扇油漆时，上冒头顶面和下冒头底面不得漏刷油漆。</w:t>
      </w:r>
    </w:p>
    <w:p w14:paraId="51FC842D" w14:textId="77777777" w:rsidR="00FE6B8F" w:rsidRDefault="00FE6B8F" w:rsidP="00FE6B8F">
      <w:pPr>
        <w:ind w:firstLineChars="200" w:firstLine="560"/>
        <w:rPr>
          <w:sz w:val="28"/>
        </w:rPr>
      </w:pPr>
      <w:r>
        <w:rPr>
          <w:sz w:val="28"/>
        </w:rPr>
        <w:t>15</w:t>
      </w:r>
      <w:r>
        <w:rPr>
          <w:rFonts w:hint="eastAsia"/>
          <w:sz w:val="28"/>
        </w:rPr>
        <w:t>、油漆涂料正式施工前，应先做出样板间（块）经建设、监理和施工三方共同验收一致通过后方可正式施工。</w:t>
      </w:r>
    </w:p>
    <w:p w14:paraId="5F67867E" w14:textId="77777777" w:rsidR="00FE6B8F" w:rsidRDefault="00FE6B8F" w:rsidP="00FE6B8F">
      <w:pPr>
        <w:ind w:firstLineChars="200" w:firstLine="562"/>
        <w:rPr>
          <w:b/>
          <w:bCs/>
          <w:sz w:val="28"/>
        </w:rPr>
      </w:pPr>
      <w:r>
        <w:rPr>
          <w:rFonts w:hint="eastAsia"/>
          <w:b/>
          <w:bCs/>
          <w:sz w:val="28"/>
        </w:rPr>
        <w:t>三、允许偏差：</w:t>
      </w:r>
    </w:p>
    <w:p w14:paraId="219F68F1" w14:textId="77777777" w:rsidR="00FE6B8F" w:rsidRDefault="00FE6B8F" w:rsidP="00FE6B8F">
      <w:pPr>
        <w:jc w:val="center"/>
        <w:rPr>
          <w:sz w:val="24"/>
        </w:rPr>
      </w:pPr>
      <w:r>
        <w:rPr>
          <w:rFonts w:hint="eastAsia"/>
          <w:sz w:val="24"/>
        </w:rPr>
        <w:t>实</w:t>
      </w:r>
      <w:r>
        <w:rPr>
          <w:rFonts w:hint="eastAsia"/>
          <w:sz w:val="24"/>
        </w:rPr>
        <w:t xml:space="preserve"> </w:t>
      </w:r>
      <w:r>
        <w:rPr>
          <w:rFonts w:hint="eastAsia"/>
          <w:sz w:val="24"/>
        </w:rPr>
        <w:t>测</w:t>
      </w:r>
      <w:r>
        <w:rPr>
          <w:rFonts w:hint="eastAsia"/>
          <w:sz w:val="24"/>
        </w:rPr>
        <w:t xml:space="preserve"> </w:t>
      </w:r>
      <w:r>
        <w:rPr>
          <w:rFonts w:hint="eastAsia"/>
          <w:sz w:val="24"/>
        </w:rPr>
        <w:t>允</w:t>
      </w:r>
      <w:r>
        <w:rPr>
          <w:rFonts w:hint="eastAsia"/>
          <w:sz w:val="24"/>
        </w:rPr>
        <w:t xml:space="preserve"> </w:t>
      </w:r>
      <w:r>
        <w:rPr>
          <w:rFonts w:hint="eastAsia"/>
          <w:sz w:val="24"/>
        </w:rPr>
        <w:t>许</w:t>
      </w:r>
      <w:r>
        <w:rPr>
          <w:rFonts w:hint="eastAsia"/>
          <w:sz w:val="24"/>
        </w:rPr>
        <w:t xml:space="preserve"> </w:t>
      </w:r>
      <w:r>
        <w:rPr>
          <w:rFonts w:hint="eastAsia"/>
          <w:sz w:val="24"/>
        </w:rPr>
        <w:t>偏</w:t>
      </w:r>
      <w:r>
        <w:rPr>
          <w:rFonts w:hint="eastAsia"/>
          <w:sz w:val="24"/>
        </w:rPr>
        <w:t xml:space="preserve"> </w:t>
      </w:r>
      <w:r>
        <w:rPr>
          <w:rFonts w:hint="eastAsia"/>
          <w:sz w:val="24"/>
        </w:rPr>
        <w:t>差</w:t>
      </w:r>
      <w:r>
        <w:rPr>
          <w:rFonts w:hint="eastAsia"/>
          <w:sz w:val="24"/>
        </w:rPr>
        <w:t xml:space="preserve"> </w:t>
      </w:r>
      <w:r>
        <w:rPr>
          <w:rFonts w:hint="eastAsia"/>
          <w:sz w:val="24"/>
        </w:rPr>
        <w:t>表（</w:t>
      </w:r>
      <w:r>
        <w:rPr>
          <w:rFonts w:hint="eastAsia"/>
          <w:sz w:val="24"/>
        </w:rPr>
        <w:t>mm</w:t>
      </w:r>
      <w:r>
        <w:rPr>
          <w:rFonts w:hint="eastAsia"/>
          <w:sz w:val="24"/>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1"/>
        <w:gridCol w:w="2891"/>
        <w:gridCol w:w="2150"/>
        <w:gridCol w:w="2286"/>
      </w:tblGrid>
      <w:tr w:rsidR="00FE6B8F" w14:paraId="299DAD32" w14:textId="77777777" w:rsidTr="00E1655D">
        <w:trPr>
          <w:trHeight w:val="345"/>
        </w:trPr>
        <w:tc>
          <w:tcPr>
            <w:tcW w:w="735" w:type="dxa"/>
          </w:tcPr>
          <w:p w14:paraId="7B899EDE" w14:textId="77777777" w:rsidR="00FE6B8F" w:rsidRDefault="00FE6B8F" w:rsidP="00E1655D">
            <w:pPr>
              <w:jc w:val="center"/>
            </w:pPr>
            <w:r>
              <w:rPr>
                <w:rFonts w:hint="eastAsia"/>
              </w:rPr>
              <w:t>序号</w:t>
            </w:r>
          </w:p>
        </w:tc>
        <w:tc>
          <w:tcPr>
            <w:tcW w:w="3420" w:type="dxa"/>
            <w:vAlign w:val="center"/>
          </w:tcPr>
          <w:p w14:paraId="69A0A920" w14:textId="77777777" w:rsidR="00FE6B8F" w:rsidRDefault="00FE6B8F" w:rsidP="00E1655D">
            <w:pPr>
              <w:jc w:val="center"/>
            </w:pPr>
            <w:r>
              <w:rPr>
                <w:rFonts w:hint="eastAsia"/>
              </w:rPr>
              <w:t>项</w:t>
            </w:r>
            <w:r>
              <w:rPr>
                <w:rFonts w:hint="eastAsia"/>
              </w:rPr>
              <w:t xml:space="preserve">        </w:t>
            </w:r>
            <w:r>
              <w:rPr>
                <w:rFonts w:hint="eastAsia"/>
              </w:rPr>
              <w:t>目</w:t>
            </w:r>
          </w:p>
        </w:tc>
        <w:tc>
          <w:tcPr>
            <w:tcW w:w="2520" w:type="dxa"/>
            <w:vAlign w:val="center"/>
          </w:tcPr>
          <w:p w14:paraId="538521D7" w14:textId="77777777" w:rsidR="00FE6B8F" w:rsidRDefault="00FE6B8F" w:rsidP="00E1655D">
            <w:pPr>
              <w:jc w:val="center"/>
            </w:pPr>
            <w:r>
              <w:rPr>
                <w:rFonts w:hint="eastAsia"/>
              </w:rPr>
              <w:t>国家标准允许偏差值</w:t>
            </w:r>
          </w:p>
        </w:tc>
        <w:tc>
          <w:tcPr>
            <w:tcW w:w="2685" w:type="dxa"/>
          </w:tcPr>
          <w:p w14:paraId="3570208E" w14:textId="77777777" w:rsidR="00FE6B8F" w:rsidRDefault="00FE6B8F" w:rsidP="00E1655D">
            <w:pPr>
              <w:jc w:val="center"/>
            </w:pPr>
            <w:r>
              <w:rPr>
                <w:rFonts w:hint="eastAsia"/>
              </w:rPr>
              <w:t>企业标准允许偏差值</w:t>
            </w:r>
          </w:p>
        </w:tc>
      </w:tr>
      <w:tr w:rsidR="00FE6B8F" w14:paraId="07AF8241" w14:textId="77777777" w:rsidTr="00E1655D">
        <w:trPr>
          <w:trHeight w:val="345"/>
        </w:trPr>
        <w:tc>
          <w:tcPr>
            <w:tcW w:w="735" w:type="dxa"/>
          </w:tcPr>
          <w:p w14:paraId="210A2731" w14:textId="77777777" w:rsidR="00FE6B8F" w:rsidRDefault="00FE6B8F" w:rsidP="00E1655D">
            <w:pPr>
              <w:jc w:val="center"/>
            </w:pPr>
            <w:r>
              <w:rPr>
                <w:rFonts w:hint="eastAsia"/>
              </w:rPr>
              <w:t>1</w:t>
            </w:r>
          </w:p>
        </w:tc>
        <w:tc>
          <w:tcPr>
            <w:tcW w:w="3420" w:type="dxa"/>
            <w:vAlign w:val="center"/>
          </w:tcPr>
          <w:p w14:paraId="1D8E35FB" w14:textId="77777777" w:rsidR="00FE6B8F" w:rsidRDefault="00FE6B8F" w:rsidP="00E1655D">
            <w:pPr>
              <w:jc w:val="center"/>
            </w:pPr>
            <w:r>
              <w:rPr>
                <w:rFonts w:hint="eastAsia"/>
              </w:rPr>
              <w:t>/</w:t>
            </w:r>
          </w:p>
        </w:tc>
        <w:tc>
          <w:tcPr>
            <w:tcW w:w="2520" w:type="dxa"/>
            <w:vAlign w:val="center"/>
          </w:tcPr>
          <w:p w14:paraId="73B993FB" w14:textId="77777777" w:rsidR="00FE6B8F" w:rsidRDefault="00FE6B8F" w:rsidP="00E1655D">
            <w:pPr>
              <w:jc w:val="center"/>
            </w:pPr>
            <w:r>
              <w:rPr>
                <w:rFonts w:hint="eastAsia"/>
              </w:rPr>
              <w:t>/</w:t>
            </w:r>
          </w:p>
        </w:tc>
        <w:tc>
          <w:tcPr>
            <w:tcW w:w="2685" w:type="dxa"/>
          </w:tcPr>
          <w:p w14:paraId="316EEE0F" w14:textId="77777777" w:rsidR="00FE6B8F" w:rsidRDefault="00FE6B8F" w:rsidP="00E1655D">
            <w:pPr>
              <w:jc w:val="center"/>
            </w:pPr>
            <w:r>
              <w:rPr>
                <w:rFonts w:hint="eastAsia"/>
              </w:rPr>
              <w:t>/</w:t>
            </w:r>
          </w:p>
        </w:tc>
      </w:tr>
      <w:tr w:rsidR="00FE6B8F" w14:paraId="4F2EE4D5" w14:textId="77777777" w:rsidTr="00E1655D">
        <w:trPr>
          <w:trHeight w:val="345"/>
        </w:trPr>
        <w:tc>
          <w:tcPr>
            <w:tcW w:w="735" w:type="dxa"/>
          </w:tcPr>
          <w:p w14:paraId="7324B20E" w14:textId="77777777" w:rsidR="00FE6B8F" w:rsidRDefault="00FE6B8F" w:rsidP="00E1655D">
            <w:pPr>
              <w:jc w:val="center"/>
            </w:pPr>
            <w:r>
              <w:rPr>
                <w:rFonts w:hint="eastAsia"/>
              </w:rPr>
              <w:t>2</w:t>
            </w:r>
          </w:p>
        </w:tc>
        <w:tc>
          <w:tcPr>
            <w:tcW w:w="3420" w:type="dxa"/>
            <w:vAlign w:val="center"/>
          </w:tcPr>
          <w:p w14:paraId="61CFB700" w14:textId="77777777" w:rsidR="00FE6B8F" w:rsidRDefault="00FE6B8F" w:rsidP="00E1655D">
            <w:pPr>
              <w:jc w:val="center"/>
            </w:pPr>
            <w:r>
              <w:rPr>
                <w:rFonts w:hint="eastAsia"/>
              </w:rPr>
              <w:t>/</w:t>
            </w:r>
          </w:p>
        </w:tc>
        <w:tc>
          <w:tcPr>
            <w:tcW w:w="2520" w:type="dxa"/>
            <w:vAlign w:val="center"/>
          </w:tcPr>
          <w:p w14:paraId="78AC54D6" w14:textId="77777777" w:rsidR="00FE6B8F" w:rsidRDefault="00FE6B8F" w:rsidP="00E1655D">
            <w:pPr>
              <w:jc w:val="center"/>
            </w:pPr>
            <w:r>
              <w:rPr>
                <w:rFonts w:hint="eastAsia"/>
              </w:rPr>
              <w:t>/</w:t>
            </w:r>
          </w:p>
        </w:tc>
        <w:tc>
          <w:tcPr>
            <w:tcW w:w="2685" w:type="dxa"/>
          </w:tcPr>
          <w:p w14:paraId="063F8DC8" w14:textId="77777777" w:rsidR="00FE6B8F" w:rsidRDefault="00FE6B8F" w:rsidP="00E1655D">
            <w:pPr>
              <w:jc w:val="center"/>
            </w:pPr>
            <w:r>
              <w:rPr>
                <w:rFonts w:hint="eastAsia"/>
              </w:rPr>
              <w:t>/</w:t>
            </w:r>
          </w:p>
        </w:tc>
      </w:tr>
      <w:tr w:rsidR="00FE6B8F" w14:paraId="598E01EE" w14:textId="77777777" w:rsidTr="00E1655D">
        <w:trPr>
          <w:trHeight w:val="345"/>
        </w:trPr>
        <w:tc>
          <w:tcPr>
            <w:tcW w:w="735" w:type="dxa"/>
          </w:tcPr>
          <w:p w14:paraId="550D9B8A" w14:textId="77777777" w:rsidR="00FE6B8F" w:rsidRDefault="00FE6B8F" w:rsidP="00E1655D">
            <w:pPr>
              <w:jc w:val="center"/>
            </w:pPr>
            <w:r>
              <w:rPr>
                <w:rFonts w:hint="eastAsia"/>
              </w:rPr>
              <w:t>3</w:t>
            </w:r>
          </w:p>
        </w:tc>
        <w:tc>
          <w:tcPr>
            <w:tcW w:w="3420" w:type="dxa"/>
            <w:vAlign w:val="center"/>
          </w:tcPr>
          <w:p w14:paraId="0614E703" w14:textId="77777777" w:rsidR="00FE6B8F" w:rsidRDefault="00FE6B8F" w:rsidP="00E1655D">
            <w:pPr>
              <w:jc w:val="center"/>
            </w:pPr>
            <w:r>
              <w:rPr>
                <w:rFonts w:hint="eastAsia"/>
              </w:rPr>
              <w:t>/</w:t>
            </w:r>
          </w:p>
        </w:tc>
        <w:tc>
          <w:tcPr>
            <w:tcW w:w="2520" w:type="dxa"/>
            <w:vAlign w:val="center"/>
          </w:tcPr>
          <w:p w14:paraId="6AEF0473" w14:textId="77777777" w:rsidR="00FE6B8F" w:rsidRDefault="00FE6B8F" w:rsidP="00E1655D">
            <w:pPr>
              <w:jc w:val="center"/>
            </w:pPr>
            <w:r>
              <w:rPr>
                <w:rFonts w:hint="eastAsia"/>
              </w:rPr>
              <w:t>/</w:t>
            </w:r>
          </w:p>
        </w:tc>
        <w:tc>
          <w:tcPr>
            <w:tcW w:w="2685" w:type="dxa"/>
          </w:tcPr>
          <w:p w14:paraId="6E8AAFFA" w14:textId="77777777" w:rsidR="00FE6B8F" w:rsidRDefault="00FE6B8F" w:rsidP="00E1655D">
            <w:pPr>
              <w:jc w:val="center"/>
            </w:pPr>
            <w:r>
              <w:rPr>
                <w:rFonts w:hint="eastAsia"/>
              </w:rPr>
              <w:t>/</w:t>
            </w:r>
          </w:p>
        </w:tc>
      </w:tr>
      <w:tr w:rsidR="00FE6B8F" w14:paraId="66C84208" w14:textId="77777777" w:rsidTr="00E1655D">
        <w:trPr>
          <w:trHeight w:val="345"/>
        </w:trPr>
        <w:tc>
          <w:tcPr>
            <w:tcW w:w="735" w:type="dxa"/>
          </w:tcPr>
          <w:p w14:paraId="37ECE7E5" w14:textId="77777777" w:rsidR="00FE6B8F" w:rsidRDefault="00FE6B8F" w:rsidP="00E1655D">
            <w:pPr>
              <w:jc w:val="center"/>
            </w:pPr>
            <w:r>
              <w:rPr>
                <w:rFonts w:hint="eastAsia"/>
              </w:rPr>
              <w:t>4</w:t>
            </w:r>
          </w:p>
        </w:tc>
        <w:tc>
          <w:tcPr>
            <w:tcW w:w="3420" w:type="dxa"/>
            <w:vAlign w:val="center"/>
          </w:tcPr>
          <w:p w14:paraId="16890D44" w14:textId="77777777" w:rsidR="00FE6B8F" w:rsidRDefault="00FE6B8F" w:rsidP="00E1655D">
            <w:pPr>
              <w:jc w:val="center"/>
            </w:pPr>
            <w:r>
              <w:rPr>
                <w:rFonts w:hint="eastAsia"/>
              </w:rPr>
              <w:t>/</w:t>
            </w:r>
          </w:p>
        </w:tc>
        <w:tc>
          <w:tcPr>
            <w:tcW w:w="2520" w:type="dxa"/>
            <w:vAlign w:val="center"/>
          </w:tcPr>
          <w:p w14:paraId="22CEB1B6" w14:textId="77777777" w:rsidR="00FE6B8F" w:rsidRDefault="00FE6B8F" w:rsidP="00E1655D">
            <w:pPr>
              <w:jc w:val="center"/>
            </w:pPr>
            <w:r>
              <w:rPr>
                <w:rFonts w:hint="eastAsia"/>
              </w:rPr>
              <w:t>/</w:t>
            </w:r>
          </w:p>
        </w:tc>
        <w:tc>
          <w:tcPr>
            <w:tcW w:w="2685" w:type="dxa"/>
          </w:tcPr>
          <w:p w14:paraId="6E845BF2" w14:textId="77777777" w:rsidR="00FE6B8F" w:rsidRDefault="00FE6B8F" w:rsidP="00E1655D">
            <w:pPr>
              <w:jc w:val="center"/>
            </w:pPr>
            <w:r>
              <w:rPr>
                <w:rFonts w:hint="eastAsia"/>
              </w:rPr>
              <w:t>/</w:t>
            </w:r>
          </w:p>
        </w:tc>
      </w:tr>
      <w:tr w:rsidR="00FE6B8F" w14:paraId="49CC307A" w14:textId="77777777" w:rsidTr="00E1655D">
        <w:trPr>
          <w:trHeight w:val="345"/>
        </w:trPr>
        <w:tc>
          <w:tcPr>
            <w:tcW w:w="735" w:type="dxa"/>
          </w:tcPr>
          <w:p w14:paraId="2B9A1522" w14:textId="77777777" w:rsidR="00FE6B8F" w:rsidRDefault="00FE6B8F" w:rsidP="00E1655D">
            <w:pPr>
              <w:jc w:val="center"/>
            </w:pPr>
            <w:r>
              <w:rPr>
                <w:rFonts w:hint="eastAsia"/>
              </w:rPr>
              <w:t>5</w:t>
            </w:r>
          </w:p>
        </w:tc>
        <w:tc>
          <w:tcPr>
            <w:tcW w:w="3420" w:type="dxa"/>
            <w:vAlign w:val="center"/>
          </w:tcPr>
          <w:p w14:paraId="5129863A" w14:textId="77777777" w:rsidR="00FE6B8F" w:rsidRDefault="00FE6B8F" w:rsidP="00E1655D">
            <w:pPr>
              <w:jc w:val="center"/>
            </w:pPr>
            <w:r>
              <w:rPr>
                <w:rFonts w:hint="eastAsia"/>
              </w:rPr>
              <w:t>/</w:t>
            </w:r>
          </w:p>
        </w:tc>
        <w:tc>
          <w:tcPr>
            <w:tcW w:w="2520" w:type="dxa"/>
            <w:vAlign w:val="center"/>
          </w:tcPr>
          <w:p w14:paraId="410F46D9" w14:textId="77777777" w:rsidR="00FE6B8F" w:rsidRDefault="00FE6B8F" w:rsidP="00E1655D">
            <w:pPr>
              <w:jc w:val="center"/>
            </w:pPr>
            <w:r>
              <w:rPr>
                <w:rFonts w:hint="eastAsia"/>
              </w:rPr>
              <w:t>/</w:t>
            </w:r>
          </w:p>
        </w:tc>
        <w:tc>
          <w:tcPr>
            <w:tcW w:w="2685" w:type="dxa"/>
          </w:tcPr>
          <w:p w14:paraId="021DBC44" w14:textId="77777777" w:rsidR="00FE6B8F" w:rsidRDefault="00FE6B8F" w:rsidP="00E1655D">
            <w:pPr>
              <w:jc w:val="center"/>
            </w:pPr>
            <w:r>
              <w:rPr>
                <w:rFonts w:hint="eastAsia"/>
              </w:rPr>
              <w:t>/</w:t>
            </w:r>
          </w:p>
        </w:tc>
      </w:tr>
      <w:tr w:rsidR="00FE6B8F" w14:paraId="26279178" w14:textId="77777777" w:rsidTr="00E1655D">
        <w:trPr>
          <w:trHeight w:val="345"/>
        </w:trPr>
        <w:tc>
          <w:tcPr>
            <w:tcW w:w="735" w:type="dxa"/>
          </w:tcPr>
          <w:p w14:paraId="396CA5DE" w14:textId="77777777" w:rsidR="00FE6B8F" w:rsidRDefault="00FE6B8F" w:rsidP="00E1655D">
            <w:pPr>
              <w:jc w:val="center"/>
            </w:pPr>
            <w:r>
              <w:rPr>
                <w:rFonts w:hint="eastAsia"/>
              </w:rPr>
              <w:t>6</w:t>
            </w:r>
          </w:p>
        </w:tc>
        <w:tc>
          <w:tcPr>
            <w:tcW w:w="3420" w:type="dxa"/>
            <w:vAlign w:val="center"/>
          </w:tcPr>
          <w:p w14:paraId="1824158F" w14:textId="77777777" w:rsidR="00FE6B8F" w:rsidRDefault="00FE6B8F" w:rsidP="00E1655D">
            <w:pPr>
              <w:jc w:val="center"/>
            </w:pPr>
            <w:r>
              <w:rPr>
                <w:rFonts w:hint="eastAsia"/>
              </w:rPr>
              <w:t>/</w:t>
            </w:r>
          </w:p>
        </w:tc>
        <w:tc>
          <w:tcPr>
            <w:tcW w:w="2520" w:type="dxa"/>
            <w:vAlign w:val="center"/>
          </w:tcPr>
          <w:p w14:paraId="3B5BD59B" w14:textId="77777777" w:rsidR="00FE6B8F" w:rsidRDefault="00FE6B8F" w:rsidP="00E1655D">
            <w:pPr>
              <w:jc w:val="center"/>
            </w:pPr>
            <w:r>
              <w:rPr>
                <w:rFonts w:hint="eastAsia"/>
              </w:rPr>
              <w:t>/</w:t>
            </w:r>
          </w:p>
        </w:tc>
        <w:tc>
          <w:tcPr>
            <w:tcW w:w="2685" w:type="dxa"/>
          </w:tcPr>
          <w:p w14:paraId="4D1E8029" w14:textId="77777777" w:rsidR="00FE6B8F" w:rsidRDefault="00FE6B8F" w:rsidP="00E1655D">
            <w:pPr>
              <w:jc w:val="center"/>
            </w:pPr>
            <w:r>
              <w:rPr>
                <w:rFonts w:hint="eastAsia"/>
              </w:rPr>
              <w:t>/</w:t>
            </w:r>
          </w:p>
        </w:tc>
      </w:tr>
      <w:tr w:rsidR="00FE6B8F" w14:paraId="44A3AFBD" w14:textId="77777777" w:rsidTr="00E1655D">
        <w:trPr>
          <w:trHeight w:val="345"/>
        </w:trPr>
        <w:tc>
          <w:tcPr>
            <w:tcW w:w="735" w:type="dxa"/>
          </w:tcPr>
          <w:p w14:paraId="570463A3" w14:textId="77777777" w:rsidR="00FE6B8F" w:rsidRDefault="00FE6B8F" w:rsidP="00E1655D">
            <w:pPr>
              <w:jc w:val="center"/>
            </w:pPr>
            <w:r>
              <w:rPr>
                <w:rFonts w:hint="eastAsia"/>
              </w:rPr>
              <w:t>7</w:t>
            </w:r>
          </w:p>
        </w:tc>
        <w:tc>
          <w:tcPr>
            <w:tcW w:w="3420" w:type="dxa"/>
            <w:vAlign w:val="center"/>
          </w:tcPr>
          <w:p w14:paraId="5E6F4326" w14:textId="77777777" w:rsidR="00FE6B8F" w:rsidRDefault="00FE6B8F" w:rsidP="00E1655D">
            <w:pPr>
              <w:jc w:val="center"/>
            </w:pPr>
            <w:r>
              <w:rPr>
                <w:rFonts w:hint="eastAsia"/>
              </w:rPr>
              <w:t>/</w:t>
            </w:r>
          </w:p>
        </w:tc>
        <w:tc>
          <w:tcPr>
            <w:tcW w:w="2520" w:type="dxa"/>
            <w:vAlign w:val="center"/>
          </w:tcPr>
          <w:p w14:paraId="6D6FE7F6" w14:textId="77777777" w:rsidR="00FE6B8F" w:rsidRDefault="00FE6B8F" w:rsidP="00E1655D">
            <w:pPr>
              <w:jc w:val="center"/>
            </w:pPr>
            <w:r>
              <w:rPr>
                <w:rFonts w:hint="eastAsia"/>
              </w:rPr>
              <w:t>/</w:t>
            </w:r>
          </w:p>
        </w:tc>
        <w:tc>
          <w:tcPr>
            <w:tcW w:w="2685" w:type="dxa"/>
          </w:tcPr>
          <w:p w14:paraId="7922BC6E" w14:textId="77777777" w:rsidR="00FE6B8F" w:rsidRDefault="00FE6B8F" w:rsidP="00E1655D">
            <w:pPr>
              <w:jc w:val="center"/>
              <w:rPr>
                <w:b/>
                <w:bCs/>
              </w:rPr>
            </w:pPr>
            <w:r>
              <w:rPr>
                <w:rFonts w:hint="eastAsia"/>
              </w:rPr>
              <w:t>/</w:t>
            </w:r>
          </w:p>
        </w:tc>
      </w:tr>
      <w:tr w:rsidR="00FE6B8F" w14:paraId="3AEEBFC2" w14:textId="77777777" w:rsidTr="00E1655D">
        <w:trPr>
          <w:trHeight w:val="345"/>
        </w:trPr>
        <w:tc>
          <w:tcPr>
            <w:tcW w:w="735" w:type="dxa"/>
          </w:tcPr>
          <w:p w14:paraId="5699AF2A" w14:textId="77777777" w:rsidR="00FE6B8F" w:rsidRDefault="00FE6B8F" w:rsidP="00E1655D">
            <w:pPr>
              <w:jc w:val="center"/>
            </w:pPr>
            <w:r>
              <w:rPr>
                <w:rFonts w:hint="eastAsia"/>
              </w:rPr>
              <w:t>8</w:t>
            </w:r>
          </w:p>
        </w:tc>
        <w:tc>
          <w:tcPr>
            <w:tcW w:w="3420" w:type="dxa"/>
            <w:vAlign w:val="center"/>
          </w:tcPr>
          <w:p w14:paraId="60E1BF5D" w14:textId="77777777" w:rsidR="00FE6B8F" w:rsidRDefault="00FE6B8F" w:rsidP="00E1655D">
            <w:pPr>
              <w:jc w:val="center"/>
            </w:pPr>
            <w:r>
              <w:rPr>
                <w:rFonts w:hint="eastAsia"/>
              </w:rPr>
              <w:t>/</w:t>
            </w:r>
          </w:p>
        </w:tc>
        <w:tc>
          <w:tcPr>
            <w:tcW w:w="2520" w:type="dxa"/>
            <w:vAlign w:val="center"/>
          </w:tcPr>
          <w:p w14:paraId="4F773C35" w14:textId="77777777" w:rsidR="00FE6B8F" w:rsidRDefault="00FE6B8F" w:rsidP="00E1655D">
            <w:pPr>
              <w:jc w:val="center"/>
            </w:pPr>
            <w:r>
              <w:rPr>
                <w:rFonts w:hint="eastAsia"/>
              </w:rPr>
              <w:t>/</w:t>
            </w:r>
          </w:p>
        </w:tc>
        <w:tc>
          <w:tcPr>
            <w:tcW w:w="2685" w:type="dxa"/>
          </w:tcPr>
          <w:p w14:paraId="2C4DACE6" w14:textId="77777777" w:rsidR="00FE6B8F" w:rsidRDefault="00FE6B8F" w:rsidP="00E1655D">
            <w:pPr>
              <w:jc w:val="center"/>
              <w:rPr>
                <w:b/>
                <w:bCs/>
              </w:rPr>
            </w:pPr>
            <w:r>
              <w:rPr>
                <w:rFonts w:hint="eastAsia"/>
              </w:rPr>
              <w:t>/</w:t>
            </w:r>
          </w:p>
        </w:tc>
      </w:tr>
      <w:tr w:rsidR="00FE6B8F" w14:paraId="007F206E" w14:textId="77777777" w:rsidTr="00E1655D">
        <w:trPr>
          <w:trHeight w:val="345"/>
        </w:trPr>
        <w:tc>
          <w:tcPr>
            <w:tcW w:w="735" w:type="dxa"/>
          </w:tcPr>
          <w:p w14:paraId="743F44E6" w14:textId="77777777" w:rsidR="00FE6B8F" w:rsidRDefault="00FE6B8F" w:rsidP="00E1655D">
            <w:pPr>
              <w:jc w:val="center"/>
            </w:pPr>
            <w:r>
              <w:rPr>
                <w:rFonts w:hint="eastAsia"/>
              </w:rPr>
              <w:t>9</w:t>
            </w:r>
          </w:p>
        </w:tc>
        <w:tc>
          <w:tcPr>
            <w:tcW w:w="3420" w:type="dxa"/>
            <w:vAlign w:val="center"/>
          </w:tcPr>
          <w:p w14:paraId="3A431A13" w14:textId="77777777" w:rsidR="00FE6B8F" w:rsidRDefault="00FE6B8F" w:rsidP="00E1655D">
            <w:pPr>
              <w:jc w:val="center"/>
            </w:pPr>
            <w:r>
              <w:rPr>
                <w:rFonts w:hint="eastAsia"/>
              </w:rPr>
              <w:t>/</w:t>
            </w:r>
          </w:p>
        </w:tc>
        <w:tc>
          <w:tcPr>
            <w:tcW w:w="2520" w:type="dxa"/>
            <w:vAlign w:val="center"/>
          </w:tcPr>
          <w:p w14:paraId="3B4C21BF" w14:textId="77777777" w:rsidR="00FE6B8F" w:rsidRDefault="00FE6B8F" w:rsidP="00E1655D">
            <w:pPr>
              <w:jc w:val="center"/>
            </w:pPr>
            <w:r>
              <w:rPr>
                <w:rFonts w:hint="eastAsia"/>
              </w:rPr>
              <w:t>/</w:t>
            </w:r>
          </w:p>
        </w:tc>
        <w:tc>
          <w:tcPr>
            <w:tcW w:w="2685" w:type="dxa"/>
          </w:tcPr>
          <w:p w14:paraId="72B763DE" w14:textId="77777777" w:rsidR="00FE6B8F" w:rsidRDefault="00FE6B8F" w:rsidP="00E1655D">
            <w:pPr>
              <w:jc w:val="center"/>
            </w:pPr>
            <w:r>
              <w:rPr>
                <w:rFonts w:hint="eastAsia"/>
              </w:rPr>
              <w:t>/</w:t>
            </w:r>
          </w:p>
        </w:tc>
      </w:tr>
      <w:tr w:rsidR="00FE6B8F" w14:paraId="6EED9397" w14:textId="77777777" w:rsidTr="00E1655D">
        <w:trPr>
          <w:trHeight w:val="345"/>
        </w:trPr>
        <w:tc>
          <w:tcPr>
            <w:tcW w:w="735" w:type="dxa"/>
          </w:tcPr>
          <w:p w14:paraId="280BDB47" w14:textId="77777777" w:rsidR="00FE6B8F" w:rsidRDefault="00FE6B8F" w:rsidP="00E1655D">
            <w:pPr>
              <w:jc w:val="center"/>
            </w:pPr>
            <w:r>
              <w:rPr>
                <w:rFonts w:hint="eastAsia"/>
              </w:rPr>
              <w:lastRenderedPageBreak/>
              <w:t>10</w:t>
            </w:r>
          </w:p>
        </w:tc>
        <w:tc>
          <w:tcPr>
            <w:tcW w:w="3420" w:type="dxa"/>
            <w:vAlign w:val="center"/>
          </w:tcPr>
          <w:p w14:paraId="69E7F8ED" w14:textId="77777777" w:rsidR="00FE6B8F" w:rsidRDefault="00FE6B8F" w:rsidP="00E1655D">
            <w:pPr>
              <w:jc w:val="center"/>
            </w:pPr>
            <w:r>
              <w:rPr>
                <w:rFonts w:hint="eastAsia"/>
              </w:rPr>
              <w:t>/</w:t>
            </w:r>
          </w:p>
        </w:tc>
        <w:tc>
          <w:tcPr>
            <w:tcW w:w="2520" w:type="dxa"/>
            <w:vAlign w:val="center"/>
          </w:tcPr>
          <w:p w14:paraId="0345820B" w14:textId="77777777" w:rsidR="00FE6B8F" w:rsidRDefault="00FE6B8F" w:rsidP="00E1655D">
            <w:pPr>
              <w:jc w:val="center"/>
            </w:pPr>
            <w:r>
              <w:rPr>
                <w:rFonts w:hint="eastAsia"/>
              </w:rPr>
              <w:t>/</w:t>
            </w:r>
          </w:p>
        </w:tc>
        <w:tc>
          <w:tcPr>
            <w:tcW w:w="2685" w:type="dxa"/>
          </w:tcPr>
          <w:p w14:paraId="1C9A8503" w14:textId="77777777" w:rsidR="00FE6B8F" w:rsidRDefault="00FE6B8F" w:rsidP="00E1655D">
            <w:pPr>
              <w:jc w:val="center"/>
              <w:rPr>
                <w:b/>
                <w:bCs/>
              </w:rPr>
            </w:pPr>
            <w:r>
              <w:rPr>
                <w:rFonts w:hint="eastAsia"/>
              </w:rPr>
              <w:t>/</w:t>
            </w:r>
          </w:p>
        </w:tc>
      </w:tr>
    </w:tbl>
    <w:p w14:paraId="2B43EDFC" w14:textId="77777777" w:rsidR="00FE6B8F" w:rsidRDefault="00FE6B8F" w:rsidP="00FE6B8F">
      <w:pPr>
        <w:jc w:val="center"/>
        <w:rPr>
          <w:b/>
          <w:bCs/>
          <w:sz w:val="36"/>
        </w:rPr>
      </w:pPr>
    </w:p>
    <w:p w14:paraId="205AF20E" w14:textId="77777777" w:rsidR="00267FC0" w:rsidRDefault="00267FC0"/>
    <w:sectPr w:rsidR="00267FC0" w:rsidSect="00FE6B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9C3F8" w14:textId="77777777" w:rsidR="003E0FFD" w:rsidRDefault="003E0FFD" w:rsidP="00FE6B8F">
      <w:r>
        <w:separator/>
      </w:r>
    </w:p>
  </w:endnote>
  <w:endnote w:type="continuationSeparator" w:id="0">
    <w:p w14:paraId="4F89762D" w14:textId="77777777" w:rsidR="003E0FFD" w:rsidRDefault="003E0FFD" w:rsidP="00FE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C647C" w14:textId="77777777" w:rsidR="003E0FFD" w:rsidRDefault="003E0FFD" w:rsidP="00FE6B8F">
      <w:r>
        <w:separator/>
      </w:r>
    </w:p>
  </w:footnote>
  <w:footnote w:type="continuationSeparator" w:id="0">
    <w:p w14:paraId="32D9A1EE" w14:textId="77777777" w:rsidR="003E0FFD" w:rsidRDefault="003E0FFD" w:rsidP="00FE6B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01D"/>
    <w:rsid w:val="00002AB5"/>
    <w:rsid w:val="00022042"/>
    <w:rsid w:val="0002777F"/>
    <w:rsid w:val="0004401D"/>
    <w:rsid w:val="000537D7"/>
    <w:rsid w:val="00083791"/>
    <w:rsid w:val="000859D3"/>
    <w:rsid w:val="000A1DF6"/>
    <w:rsid w:val="000A59AD"/>
    <w:rsid w:val="00102853"/>
    <w:rsid w:val="00115523"/>
    <w:rsid w:val="001457FC"/>
    <w:rsid w:val="00156FAA"/>
    <w:rsid w:val="0018499A"/>
    <w:rsid w:val="001D4231"/>
    <w:rsid w:val="001E759D"/>
    <w:rsid w:val="00267FC0"/>
    <w:rsid w:val="002D1E79"/>
    <w:rsid w:val="002D6881"/>
    <w:rsid w:val="002E2954"/>
    <w:rsid w:val="00341280"/>
    <w:rsid w:val="00342A23"/>
    <w:rsid w:val="0034527E"/>
    <w:rsid w:val="00352D8F"/>
    <w:rsid w:val="003864C9"/>
    <w:rsid w:val="003D0207"/>
    <w:rsid w:val="003E0FFD"/>
    <w:rsid w:val="00416658"/>
    <w:rsid w:val="00434572"/>
    <w:rsid w:val="0043590D"/>
    <w:rsid w:val="004443C0"/>
    <w:rsid w:val="004B4459"/>
    <w:rsid w:val="004F1EC9"/>
    <w:rsid w:val="00506452"/>
    <w:rsid w:val="00557DB5"/>
    <w:rsid w:val="005841BD"/>
    <w:rsid w:val="005B1C13"/>
    <w:rsid w:val="005E4BF1"/>
    <w:rsid w:val="006153A1"/>
    <w:rsid w:val="00661983"/>
    <w:rsid w:val="006807DE"/>
    <w:rsid w:val="00684023"/>
    <w:rsid w:val="006F29CF"/>
    <w:rsid w:val="006F6A05"/>
    <w:rsid w:val="006F7A4A"/>
    <w:rsid w:val="0074184E"/>
    <w:rsid w:val="007E2A54"/>
    <w:rsid w:val="007E51E9"/>
    <w:rsid w:val="007F5BE8"/>
    <w:rsid w:val="008033E8"/>
    <w:rsid w:val="008135FD"/>
    <w:rsid w:val="00830953"/>
    <w:rsid w:val="008634A8"/>
    <w:rsid w:val="0087485E"/>
    <w:rsid w:val="009072DA"/>
    <w:rsid w:val="00960215"/>
    <w:rsid w:val="00963BC5"/>
    <w:rsid w:val="00970F58"/>
    <w:rsid w:val="00981D04"/>
    <w:rsid w:val="009C2052"/>
    <w:rsid w:val="009C6722"/>
    <w:rsid w:val="009E47AF"/>
    <w:rsid w:val="009F6192"/>
    <w:rsid w:val="00A63317"/>
    <w:rsid w:val="00AB49F0"/>
    <w:rsid w:val="00AE19A3"/>
    <w:rsid w:val="00B4477E"/>
    <w:rsid w:val="00B452B3"/>
    <w:rsid w:val="00BC319A"/>
    <w:rsid w:val="00C14029"/>
    <w:rsid w:val="00C439B4"/>
    <w:rsid w:val="00C9654E"/>
    <w:rsid w:val="00CA7064"/>
    <w:rsid w:val="00D066B5"/>
    <w:rsid w:val="00D3366E"/>
    <w:rsid w:val="00D4092C"/>
    <w:rsid w:val="00D9039C"/>
    <w:rsid w:val="00DD1DF4"/>
    <w:rsid w:val="00DF2CD7"/>
    <w:rsid w:val="00E04F93"/>
    <w:rsid w:val="00E11D63"/>
    <w:rsid w:val="00E14300"/>
    <w:rsid w:val="00E21943"/>
    <w:rsid w:val="00E86FC1"/>
    <w:rsid w:val="00EC4E65"/>
    <w:rsid w:val="00F06941"/>
    <w:rsid w:val="00F2071A"/>
    <w:rsid w:val="00F3550C"/>
    <w:rsid w:val="00F525A7"/>
    <w:rsid w:val="00F5385D"/>
    <w:rsid w:val="00FE6B8F"/>
    <w:rsid w:val="00FF7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1A7CB63-2065-48FB-9D06-9AE9A7AB1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宋体" w:eastAsia="宋体" w:hAnsi="宋体"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B8F"/>
    <w:pPr>
      <w:widowControl w:val="0"/>
      <w:jc w:val="both"/>
    </w:pPr>
    <w:rPr>
      <w:rFonts w:ascii="Times New Roman" w:hAnsi="Times New Roman" w:cs="Times New Roman"/>
      <w:sz w:val="21"/>
      <w:szCs w:val="24"/>
    </w:rPr>
  </w:style>
  <w:style w:type="paragraph" w:styleId="3">
    <w:name w:val="heading 3"/>
    <w:basedOn w:val="a"/>
    <w:next w:val="a"/>
    <w:link w:val="30"/>
    <w:qFormat/>
    <w:rsid w:val="00FE6B8F"/>
    <w:pPr>
      <w:keepNext/>
      <w:jc w:val="center"/>
      <w:outlineLvl w:val="2"/>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6B8F"/>
    <w:pPr>
      <w:tabs>
        <w:tab w:val="center" w:pos="4153"/>
        <w:tab w:val="right" w:pos="8306"/>
      </w:tabs>
      <w:snapToGrid w:val="0"/>
      <w:jc w:val="center"/>
    </w:pPr>
    <w:rPr>
      <w:rFonts w:ascii="宋体" w:hAnsi="宋体" w:cstheme="minorBidi"/>
      <w:sz w:val="18"/>
      <w:szCs w:val="18"/>
    </w:rPr>
  </w:style>
  <w:style w:type="character" w:customStyle="1" w:styleId="a4">
    <w:name w:val="页眉 字符"/>
    <w:basedOn w:val="a0"/>
    <w:link w:val="a3"/>
    <w:uiPriority w:val="99"/>
    <w:rsid w:val="00FE6B8F"/>
    <w:rPr>
      <w:sz w:val="18"/>
      <w:szCs w:val="18"/>
    </w:rPr>
  </w:style>
  <w:style w:type="paragraph" w:styleId="a5">
    <w:name w:val="footer"/>
    <w:basedOn w:val="a"/>
    <w:link w:val="a6"/>
    <w:uiPriority w:val="99"/>
    <w:unhideWhenUsed/>
    <w:rsid w:val="00FE6B8F"/>
    <w:pPr>
      <w:tabs>
        <w:tab w:val="center" w:pos="4153"/>
        <w:tab w:val="right" w:pos="8306"/>
      </w:tabs>
      <w:snapToGrid w:val="0"/>
      <w:jc w:val="left"/>
    </w:pPr>
    <w:rPr>
      <w:rFonts w:ascii="宋体" w:hAnsi="宋体" w:cstheme="minorBidi"/>
      <w:sz w:val="18"/>
      <w:szCs w:val="18"/>
    </w:rPr>
  </w:style>
  <w:style w:type="character" w:customStyle="1" w:styleId="a6">
    <w:name w:val="页脚 字符"/>
    <w:basedOn w:val="a0"/>
    <w:link w:val="a5"/>
    <w:uiPriority w:val="99"/>
    <w:rsid w:val="00FE6B8F"/>
    <w:rPr>
      <w:sz w:val="18"/>
      <w:szCs w:val="18"/>
    </w:rPr>
  </w:style>
  <w:style w:type="character" w:customStyle="1" w:styleId="30">
    <w:name w:val="标题 3 字符"/>
    <w:basedOn w:val="a0"/>
    <w:link w:val="3"/>
    <w:rsid w:val="00FE6B8F"/>
    <w:rPr>
      <w:rFonts w:ascii="Times New Roman"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yyp yin</dc:creator>
  <cp:keywords/>
  <dc:description/>
  <cp:lastModifiedBy>yyp yin</cp:lastModifiedBy>
  <cp:revision>2</cp:revision>
  <dcterms:created xsi:type="dcterms:W3CDTF">2024-08-14T03:19:00Z</dcterms:created>
  <dcterms:modified xsi:type="dcterms:W3CDTF">2024-08-14T03:19:00Z</dcterms:modified>
</cp:coreProperties>
</file>